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501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1"/>
        <w:gridCol w:w="800"/>
        <w:gridCol w:w="2000"/>
        <w:gridCol w:w="400"/>
        <w:gridCol w:w="400"/>
        <w:gridCol w:w="400"/>
        <w:gridCol w:w="1000"/>
        <w:gridCol w:w="1600"/>
        <w:gridCol w:w="400"/>
        <w:gridCol w:w="400"/>
        <w:gridCol w:w="1600"/>
        <w:gridCol w:w="1700"/>
        <w:gridCol w:w="800"/>
      </w:tblGrid>
      <w:tr>
        <w:trPr>
          <w:trHeight w:val="0" w:hRule="atLeast"/>
        </w:trPr>
        <w:tc>
          <w:tcPr>
            <w:tcW w:w="1" w:type="dxa"/>
            <w:vAlign w:val="top"/>
          </w:tcPr>
          <w:p>
            <w:pPr>
              <w:pStyle w:val="3"/>
            </w:pPr>
            <w:bookmarkStart w:id="0" w:name="JR_PAGE_ANCHOR_0_1"/>
            <w:bookmarkEnd w:id="0"/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  <w:tc>
          <w:tcPr>
            <w:tcW w:w="28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3400" w:type="dxa"/>
            <w:gridSpan w:val="4"/>
            <w:vAlign w:val="top"/>
          </w:tcPr>
          <w:p>
            <w:pPr>
              <w:pStyle w:val="3"/>
            </w:pPr>
          </w:p>
        </w:tc>
        <w:tc>
          <w:tcPr>
            <w:tcW w:w="3300" w:type="dxa"/>
            <w:gridSpan w:val="2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18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240" w:lineRule="auto"/>
              <w:jc w:val="center"/>
            </w:pPr>
            <w:r>
              <w:rPr>
                <w:rFonts w:ascii="原版宋体" w:hAnsi="原版宋体" w:eastAsia="原版宋体" w:cs="原版宋体"/>
                <w:b/>
                <w:color w:val="000000"/>
                <w:sz w:val="40"/>
              </w:rPr>
              <w:t>“金港湾惠享私募增强版1902期”定期报告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7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  <w:tc>
          <w:tcPr>
            <w:tcW w:w="28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3400" w:type="dxa"/>
            <w:gridSpan w:val="4"/>
            <w:vAlign w:val="top"/>
          </w:tcPr>
          <w:p>
            <w:pPr>
              <w:pStyle w:val="3"/>
            </w:pPr>
          </w:p>
        </w:tc>
        <w:tc>
          <w:tcPr>
            <w:tcW w:w="3300" w:type="dxa"/>
            <w:gridSpan w:val="2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产品管理人：江苏张家港农村商业银行股份有限公司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产品托管人：宁波银行股份有限公司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发布时间：2021年03月31日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7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  <w:tc>
          <w:tcPr>
            <w:tcW w:w="28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3400" w:type="dxa"/>
            <w:gridSpan w:val="4"/>
            <w:vAlign w:val="top"/>
          </w:tcPr>
          <w:p>
            <w:pPr>
              <w:pStyle w:val="3"/>
            </w:pPr>
          </w:p>
        </w:tc>
        <w:tc>
          <w:tcPr>
            <w:tcW w:w="3300" w:type="dxa"/>
            <w:gridSpan w:val="2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5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1  重要提示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产品的过往业绩并不代表其未来表现。投资有风险，投资者在作出投资决策前应仔细阅读本产品说明书。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本报告中财务资料未经审计。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本报告期自2021年01月01日起至03月31日止。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7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  <w:tc>
          <w:tcPr>
            <w:tcW w:w="28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3400" w:type="dxa"/>
            <w:gridSpan w:val="4"/>
            <w:vAlign w:val="top"/>
          </w:tcPr>
          <w:p>
            <w:pPr>
              <w:pStyle w:val="3"/>
            </w:pPr>
          </w:p>
        </w:tc>
        <w:tc>
          <w:tcPr>
            <w:tcW w:w="3300" w:type="dxa"/>
            <w:gridSpan w:val="2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5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2  产品概况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8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产品名称</w:t>
            </w:r>
          </w:p>
        </w:tc>
        <w:tc>
          <w:tcPr>
            <w:tcW w:w="7100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金港湾惠享私募增强版1902期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产品编码</w:t>
            </w:r>
          </w:p>
        </w:tc>
        <w:tc>
          <w:tcPr>
            <w:tcW w:w="7100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HXSQ1902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全国银行业理财信息登记系统编码</w:t>
            </w:r>
          </w:p>
        </w:tc>
        <w:tc>
          <w:tcPr>
            <w:tcW w:w="7100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C1115620A000016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产品运作方式</w:t>
            </w:r>
          </w:p>
        </w:tc>
        <w:tc>
          <w:tcPr>
            <w:tcW w:w="7100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封闭式净值型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产品类型</w:t>
            </w:r>
          </w:p>
        </w:tc>
        <w:tc>
          <w:tcPr>
            <w:tcW w:w="7100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固定收益类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募集方式</w:t>
            </w:r>
          </w:p>
        </w:tc>
        <w:tc>
          <w:tcPr>
            <w:tcW w:w="7100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公募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报告期末产品份额总额</w:t>
            </w:r>
          </w:p>
        </w:tc>
        <w:tc>
          <w:tcPr>
            <w:tcW w:w="7100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60,000,000.00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报告期末单位净值</w:t>
            </w:r>
          </w:p>
        </w:tc>
        <w:tc>
          <w:tcPr>
            <w:tcW w:w="7100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1.0102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报告期末累计单位净值</w:t>
            </w:r>
          </w:p>
        </w:tc>
        <w:tc>
          <w:tcPr>
            <w:tcW w:w="7100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1.0102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报告期末净值增长率（年化）</w:t>
            </w:r>
          </w:p>
        </w:tc>
        <w:tc>
          <w:tcPr>
            <w:tcW w:w="7100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</w:rPr>
              <w:t>3.0530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%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7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  <w:tc>
          <w:tcPr>
            <w:tcW w:w="28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3400" w:type="dxa"/>
            <w:gridSpan w:val="4"/>
            <w:vAlign w:val="top"/>
          </w:tcPr>
          <w:p>
            <w:pPr>
              <w:pStyle w:val="3"/>
            </w:pPr>
          </w:p>
        </w:tc>
        <w:tc>
          <w:tcPr>
            <w:tcW w:w="3300" w:type="dxa"/>
            <w:gridSpan w:val="2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5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3  资产组合报告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3.1 报告期末资产组合情况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序号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项目</w:t>
            </w:r>
          </w:p>
        </w:tc>
        <w:tc>
          <w:tcPr>
            <w:tcW w:w="34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金额（元）</w:t>
            </w:r>
          </w:p>
        </w:tc>
        <w:tc>
          <w:tcPr>
            <w:tcW w:w="33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占资产组合比例（%）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固定收益投资</w:t>
            </w:r>
          </w:p>
        </w:tc>
        <w:tc>
          <w:tcPr>
            <w:tcW w:w="34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60,044,765.03</w:t>
            </w:r>
          </w:p>
        </w:tc>
        <w:tc>
          <w:tcPr>
            <w:tcW w:w="33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98.35%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其中:银行间/交易所产品</w:t>
            </w:r>
          </w:p>
        </w:tc>
        <w:tc>
          <w:tcPr>
            <w:tcW w:w="34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3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  其中：回购</w:t>
            </w:r>
          </w:p>
        </w:tc>
        <w:tc>
          <w:tcPr>
            <w:tcW w:w="34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3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0" w:hRule="atLeast"/>
        </w:trPr>
        <w:tc>
          <w:tcPr>
            <w:tcW w:w="1" w:type="dxa"/>
            <w:vAlign w:val="top"/>
          </w:tcPr>
          <w:p>
            <w:pPr>
              <w:pStyle w:val="3"/>
              <w:pageBreakBefore/>
            </w:pPr>
            <w:bookmarkStart w:id="1" w:name="JR_PAGE_ANCHOR_0_2"/>
            <w:bookmarkEnd w:id="1"/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  <w:tc>
          <w:tcPr>
            <w:tcW w:w="2000" w:type="dxa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  <w:tc>
          <w:tcPr>
            <w:tcW w:w="1000" w:type="dxa"/>
            <w:vAlign w:val="top"/>
          </w:tcPr>
          <w:p>
            <w:pPr>
              <w:pStyle w:val="3"/>
            </w:pPr>
          </w:p>
        </w:tc>
        <w:tc>
          <w:tcPr>
            <w:tcW w:w="1600" w:type="dxa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1600" w:type="dxa"/>
            <w:vAlign w:val="top"/>
          </w:tcPr>
          <w:p>
            <w:pPr>
              <w:pStyle w:val="3"/>
            </w:pPr>
          </w:p>
        </w:tc>
        <w:tc>
          <w:tcPr>
            <w:tcW w:w="1700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非银行间/非交易所产品</w:t>
            </w:r>
          </w:p>
        </w:tc>
        <w:tc>
          <w:tcPr>
            <w:tcW w:w="34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60,044,765.03</w:t>
            </w:r>
          </w:p>
        </w:tc>
        <w:tc>
          <w:tcPr>
            <w:tcW w:w="33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98.35%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银行存款合计</w:t>
            </w:r>
          </w:p>
        </w:tc>
        <w:tc>
          <w:tcPr>
            <w:tcW w:w="34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1,004,464.41</w:t>
            </w:r>
          </w:p>
        </w:tc>
        <w:tc>
          <w:tcPr>
            <w:tcW w:w="33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1.65%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其他资产</w:t>
            </w:r>
          </w:p>
        </w:tc>
        <w:tc>
          <w:tcPr>
            <w:tcW w:w="34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3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合计</w:t>
            </w:r>
          </w:p>
        </w:tc>
        <w:tc>
          <w:tcPr>
            <w:tcW w:w="34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61,049,229.44</w:t>
            </w:r>
          </w:p>
        </w:tc>
        <w:tc>
          <w:tcPr>
            <w:tcW w:w="33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100.00%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7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  <w:tc>
          <w:tcPr>
            <w:tcW w:w="2000" w:type="dxa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  <w:tc>
          <w:tcPr>
            <w:tcW w:w="1000" w:type="dxa"/>
            <w:vAlign w:val="top"/>
          </w:tcPr>
          <w:p>
            <w:pPr>
              <w:pStyle w:val="3"/>
            </w:pPr>
          </w:p>
        </w:tc>
        <w:tc>
          <w:tcPr>
            <w:tcW w:w="1600" w:type="dxa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1600" w:type="dxa"/>
            <w:vAlign w:val="top"/>
          </w:tcPr>
          <w:p>
            <w:pPr>
              <w:pStyle w:val="3"/>
            </w:pPr>
          </w:p>
        </w:tc>
        <w:tc>
          <w:tcPr>
            <w:tcW w:w="1700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3.2 报告期末按市值占资产组合比例大小排名前十的资产投资明细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6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序号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资产代码</w:t>
            </w:r>
          </w:p>
        </w:tc>
        <w:tc>
          <w:tcPr>
            <w:tcW w:w="2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资产名称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数量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市值(元)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占</w:t>
            </w:r>
            <w:r>
              <w:rPr>
                <w:rFonts w:hint="eastAsia" w:ascii="原版宋体" w:hAnsi="原版宋体" w:eastAsia="原版宋体" w:cs="原版宋体"/>
                <w:b/>
                <w:color w:val="000000"/>
                <w:sz w:val="20"/>
                <w:lang w:eastAsia="zh-CN"/>
              </w:rPr>
              <w:t>产品</w:t>
            </w: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资产组合比例（％）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6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1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02000341                        </w:t>
            </w:r>
          </w:p>
        </w:tc>
        <w:tc>
          <w:tcPr>
            <w:tcW w:w="2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常鑫6号次级档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60,000,000.00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60,044,765.03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98.35</w:t>
            </w:r>
            <w:bookmarkStart w:id="2" w:name="_GoBack"/>
            <w:bookmarkEnd w:id="2"/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%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6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2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7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  <w:tc>
          <w:tcPr>
            <w:tcW w:w="2000" w:type="dxa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  <w:tc>
          <w:tcPr>
            <w:tcW w:w="1000" w:type="dxa"/>
            <w:vAlign w:val="top"/>
          </w:tcPr>
          <w:p>
            <w:pPr>
              <w:pStyle w:val="3"/>
            </w:pPr>
          </w:p>
        </w:tc>
        <w:tc>
          <w:tcPr>
            <w:tcW w:w="1600" w:type="dxa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1600" w:type="dxa"/>
            <w:vAlign w:val="top"/>
          </w:tcPr>
          <w:p>
            <w:pPr>
              <w:pStyle w:val="3"/>
            </w:pPr>
          </w:p>
        </w:tc>
        <w:tc>
          <w:tcPr>
            <w:tcW w:w="1700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3.3 报告期末资产组合流动性风险分析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2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流动性资产市值（元）</w:t>
            </w:r>
          </w:p>
        </w:tc>
        <w:tc>
          <w:tcPr>
            <w:tcW w:w="34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资产组合净值（元）</w:t>
            </w:r>
          </w:p>
        </w:tc>
        <w:tc>
          <w:tcPr>
            <w:tcW w:w="41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流动性资产占比（%）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2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1,004,464.41</w:t>
            </w:r>
          </w:p>
        </w:tc>
        <w:tc>
          <w:tcPr>
            <w:tcW w:w="34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60,610,876.07</w:t>
            </w:r>
          </w:p>
        </w:tc>
        <w:tc>
          <w:tcPr>
            <w:tcW w:w="41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1.66%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8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  <w:tc>
          <w:tcPr>
            <w:tcW w:w="2000" w:type="dxa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  <w:tc>
          <w:tcPr>
            <w:tcW w:w="1000" w:type="dxa"/>
            <w:vAlign w:val="top"/>
          </w:tcPr>
          <w:p>
            <w:pPr>
              <w:pStyle w:val="3"/>
            </w:pPr>
          </w:p>
        </w:tc>
        <w:tc>
          <w:tcPr>
            <w:tcW w:w="1600" w:type="dxa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1600" w:type="dxa"/>
            <w:vAlign w:val="top"/>
          </w:tcPr>
          <w:p>
            <w:pPr>
              <w:pStyle w:val="3"/>
            </w:pPr>
          </w:p>
        </w:tc>
        <w:tc>
          <w:tcPr>
            <w:tcW w:w="1700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12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产品管理人通过合理安排资产配置结构，保持一定比例的流动性资产，控制资产久期、杠杆融资比例，管控产品流动性风险。持仓中主要以一定比例的中高等级信用债或非标资产为主，风险总体可控。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88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  <w:tc>
          <w:tcPr>
            <w:tcW w:w="2000" w:type="dxa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  <w:tc>
          <w:tcPr>
            <w:tcW w:w="1000" w:type="dxa"/>
            <w:vAlign w:val="top"/>
          </w:tcPr>
          <w:p>
            <w:pPr>
              <w:pStyle w:val="3"/>
            </w:pPr>
          </w:p>
        </w:tc>
        <w:tc>
          <w:tcPr>
            <w:tcW w:w="1600" w:type="dxa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1600" w:type="dxa"/>
            <w:vAlign w:val="top"/>
          </w:tcPr>
          <w:p>
            <w:pPr>
              <w:pStyle w:val="3"/>
            </w:pPr>
          </w:p>
        </w:tc>
        <w:tc>
          <w:tcPr>
            <w:tcW w:w="1700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spacing w:before="0" w:after="0" w:line="360" w:lineRule="auto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江苏张家港农村商业银行股份有限公司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spacing w:before="0" w:after="0" w:line="360" w:lineRule="auto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2021年03月31日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</w:tbl>
    <w:p/>
    <w:sectPr>
      <w:pgSz w:w="13900" w:h="16840"/>
      <w:pgMar w:top="800" w:right="1200" w:bottom="440" w:left="1200" w:header="0" w:footer="0" w:gutter="0"/>
      <w:cols w:space="720" w:num="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SansSerif">
    <w:altName w:val="Segoe Print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原版宋体">
    <w:altName w:val="宋体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 w:val="1"/>
  <w:bordersDoNotSurroundFooter w:val="1"/>
  <w:defaultTabStop w:val="800"/>
  <w:displayHorizontalDrawingGridEvery w:val="1"/>
  <w:displayVerticalDrawingGridEvery w:val="1"/>
  <w:characterSpacingControl w:val="compressPunctuation"/>
  <w:compat>
    <w:spaceForUL/>
    <w:doNotLeaveBackslashAlone/>
    <w:ulTrailSpace/>
    <w:doNotExpandShiftReturn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style w:type="paragraph" w:default="1" w:styleId="1">
    <w:name w:val="Normal"/>
    <w:pPr>
      <w:widowControl w:val="0"/>
      <w:jc w:val="both"/>
    </w:pPr>
    <w:rPr>
      <w:rFonts w:ascii="Calibri" w:hAnsi="Calibri" w:eastAsia="宋体" w:cs="黑体"/>
      <w:sz w:val="21"/>
      <w:szCs w:val="22"/>
    </w:rPr>
  </w:style>
  <w:style w:type="character" w:default="1" w:styleId="2">
    <w:name w:val="Default Paragraph Font"/>
  </w:style>
  <w:style w:type="paragraph" w:customStyle="1" w:styleId="3">
    <w:name w:val="EMPTY_CELL_STYLE"/>
    <w:pPr>
      <w:spacing w:line="240" w:lineRule="auto"/>
    </w:pPr>
    <w:rPr>
      <w:rFonts w:ascii="SansSerif" w:hAnsi="SansSerif" w:eastAsia="SansSerif" w:cs="SansSerif"/>
      <w:color w:val="000000"/>
      <w:sz w:val="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fontTable" Target="fontTable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0</Pages>
  <Words>0</Words>
  <Characters>0</Characters>
  <Lines>0</Lines>
  <Paragraphs>0</Paragraphs>
  <ScaleCrop>false</ScaleCrop>
  <LinksUpToDate>false</LinksUpToDate>
  <CharactersWithSpaces>0</CharactersWithSpaces>
  <Application>WPS Office 专业版_9.1.0.4167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2021-04-14T15:40:00Z</dcterms:created>
  <dc:creator>zrc</dc:creator>
  <dcterms:modified xsi:type="dcterms:W3CDTF">2021-04-23T16:28:26Z</dcterms:modified>
  <dc:title>zrc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2052-9.1.0.4167</vt:lpwstr>
  </property>
</Properties>
</file>