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
        <w:gridCol w:w="800"/>
        <w:gridCol w:w="1330"/>
        <w:gridCol w:w="670"/>
        <w:gridCol w:w="400"/>
        <w:gridCol w:w="200"/>
        <w:gridCol w:w="200"/>
        <w:gridCol w:w="400"/>
        <w:gridCol w:w="20"/>
        <w:gridCol w:w="980"/>
        <w:gridCol w:w="325"/>
        <w:gridCol w:w="1275"/>
        <w:gridCol w:w="400"/>
        <w:gridCol w:w="400"/>
        <w:gridCol w:w="220"/>
        <w:gridCol w:w="1380"/>
        <w:gridCol w:w="1600"/>
        <w:gridCol w:w="100"/>
        <w:gridCol w:w="20"/>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1" w:type="dxa"/>
            <w:vAlign w:val="top"/>
          </w:tcPr>
          <w:p>
            <w:pPr>
              <w:pStyle w:val="4"/>
            </w:pPr>
            <w:bookmarkStart w:id="0" w:name="JR_PAGE_ANCHOR_0_1"/>
            <w:bookmarkEnd w:id="0"/>
          </w:p>
        </w:tc>
        <w:tc>
          <w:tcPr>
            <w:tcW w:w="3400" w:type="dxa"/>
            <w:gridSpan w:val="5"/>
            <w:vAlign w:val="top"/>
          </w:tcPr>
          <w:p>
            <w:pPr>
              <w:pStyle w:val="4"/>
            </w:pPr>
          </w:p>
        </w:tc>
        <w:tc>
          <w:tcPr>
            <w:tcW w:w="200" w:type="dxa"/>
            <w:vAlign w:val="top"/>
          </w:tcPr>
          <w:p>
            <w:pPr>
              <w:pStyle w:val="4"/>
            </w:pPr>
          </w:p>
        </w:tc>
        <w:tc>
          <w:tcPr>
            <w:tcW w:w="7100" w:type="dxa"/>
            <w:gridSpan w:val="11"/>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5" w:hRule="exact"/>
        </w:trPr>
        <w:tc>
          <w:tcPr>
            <w:tcW w:w="1" w:type="dxa"/>
            <w:vAlign w:val="top"/>
          </w:tcPr>
          <w:p>
            <w:pPr>
              <w:pStyle w:val="4"/>
            </w:pPr>
          </w:p>
        </w:tc>
        <w:tc>
          <w:tcPr>
            <w:tcW w:w="10700" w:type="dxa"/>
            <w:gridSpan w:val="17"/>
            <w:tcMar>
              <w:top w:w="0" w:type="dxa"/>
              <w:left w:w="0" w:type="dxa"/>
              <w:bottom w:w="0" w:type="dxa"/>
              <w:right w:w="0" w:type="dxa"/>
            </w:tcMar>
            <w:vAlign w:val="center"/>
          </w:tcPr>
          <w:p>
            <w:pPr>
              <w:spacing w:before="0" w:after="0" w:line="240" w:lineRule="auto"/>
              <w:jc w:val="center"/>
            </w:pPr>
            <w:r>
              <w:rPr>
                <w:b/>
                <w:color w:val="000000"/>
                <w:sz w:val="40"/>
              </w:rPr>
              <w:t>“金港湾瑞享12号”定期报告</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1" w:type="dxa"/>
            <w:vAlign w:val="top"/>
          </w:tcPr>
          <w:p>
            <w:pPr>
              <w:pStyle w:val="4"/>
            </w:pPr>
          </w:p>
        </w:tc>
        <w:tc>
          <w:tcPr>
            <w:tcW w:w="3400" w:type="dxa"/>
            <w:gridSpan w:val="5"/>
            <w:vAlign w:val="top"/>
          </w:tcPr>
          <w:p>
            <w:pPr>
              <w:pStyle w:val="4"/>
            </w:pPr>
          </w:p>
        </w:tc>
        <w:tc>
          <w:tcPr>
            <w:tcW w:w="200" w:type="dxa"/>
            <w:vAlign w:val="top"/>
          </w:tcPr>
          <w:p>
            <w:pPr>
              <w:pStyle w:val="4"/>
            </w:pPr>
          </w:p>
        </w:tc>
        <w:tc>
          <w:tcPr>
            <w:tcW w:w="7100" w:type="dxa"/>
            <w:gridSpan w:val="11"/>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00" w:type="dxa"/>
            <w:gridSpan w:val="17"/>
            <w:tcMar>
              <w:top w:w="0" w:type="dxa"/>
              <w:left w:w="0" w:type="dxa"/>
              <w:bottom w:w="0" w:type="dxa"/>
              <w:right w:w="0" w:type="dxa"/>
            </w:tcMar>
            <w:vAlign w:val="top"/>
          </w:tcPr>
          <w:p>
            <w:r>
              <w:rPr>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00" w:type="dxa"/>
            <w:gridSpan w:val="17"/>
            <w:tcMar>
              <w:top w:w="0" w:type="dxa"/>
              <w:left w:w="0" w:type="dxa"/>
              <w:bottom w:w="0" w:type="dxa"/>
              <w:right w:w="0" w:type="dxa"/>
            </w:tcMar>
            <w:vAlign w:val="top"/>
          </w:tcPr>
          <w:p>
            <w:r>
              <w:rPr>
                <w:color w:val="000000"/>
                <w:sz w:val="20"/>
              </w:rPr>
              <w:t>产品托管人：</w:t>
            </w:r>
            <w:r>
              <w:rPr>
                <w:rFonts w:hint="eastAsia"/>
                <w:color w:val="000000"/>
                <w:sz w:val="20"/>
                <w:lang w:eastAsia="zh-CN"/>
              </w:rPr>
              <w:t>招商银行股份有限公司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00" w:type="dxa"/>
            <w:gridSpan w:val="17"/>
            <w:tcMar>
              <w:top w:w="0" w:type="dxa"/>
              <w:left w:w="0" w:type="dxa"/>
              <w:bottom w:w="0" w:type="dxa"/>
              <w:right w:w="0" w:type="dxa"/>
            </w:tcMar>
            <w:vAlign w:val="top"/>
          </w:tcPr>
          <w:p>
            <w:r>
              <w:rPr>
                <w:color w:val="000000"/>
                <w:sz w:val="20"/>
              </w:rPr>
              <w:t>发布时间：2020年03月31日</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 w:hRule="exact"/>
        </w:trPr>
        <w:tc>
          <w:tcPr>
            <w:tcW w:w="1" w:type="dxa"/>
            <w:vAlign w:val="top"/>
          </w:tcPr>
          <w:p>
            <w:pPr>
              <w:pStyle w:val="4"/>
            </w:pPr>
          </w:p>
        </w:tc>
        <w:tc>
          <w:tcPr>
            <w:tcW w:w="3400" w:type="dxa"/>
            <w:gridSpan w:val="5"/>
            <w:vAlign w:val="top"/>
          </w:tcPr>
          <w:p>
            <w:pPr>
              <w:pStyle w:val="4"/>
            </w:pPr>
          </w:p>
        </w:tc>
        <w:tc>
          <w:tcPr>
            <w:tcW w:w="200" w:type="dxa"/>
            <w:vAlign w:val="top"/>
          </w:tcPr>
          <w:p>
            <w:pPr>
              <w:pStyle w:val="4"/>
            </w:pPr>
          </w:p>
        </w:tc>
        <w:tc>
          <w:tcPr>
            <w:tcW w:w="7100" w:type="dxa"/>
            <w:gridSpan w:val="11"/>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10700" w:type="dxa"/>
            <w:gridSpan w:val="17"/>
            <w:tcMar>
              <w:top w:w="0" w:type="dxa"/>
              <w:left w:w="0" w:type="dxa"/>
              <w:bottom w:w="0" w:type="dxa"/>
              <w:right w:w="0" w:type="dxa"/>
            </w:tcMar>
            <w:vAlign w:val="top"/>
          </w:tcPr>
          <w:p>
            <w:r>
              <w:rPr>
                <w:b/>
                <w:color w:val="000000"/>
                <w:sz w:val="20"/>
              </w:rPr>
              <w:t>1  重要提示</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00" w:type="dxa"/>
            <w:gridSpan w:val="17"/>
            <w:tcMar>
              <w:top w:w="0" w:type="dxa"/>
              <w:left w:w="0" w:type="dxa"/>
              <w:bottom w:w="0" w:type="dxa"/>
              <w:right w:w="0" w:type="dxa"/>
            </w:tcMar>
            <w:vAlign w:val="top"/>
          </w:tcPr>
          <w:p>
            <w:r>
              <w:rPr>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00" w:type="dxa"/>
            <w:gridSpan w:val="17"/>
            <w:tcMar>
              <w:top w:w="0" w:type="dxa"/>
              <w:left w:w="0" w:type="dxa"/>
              <w:bottom w:w="0" w:type="dxa"/>
              <w:right w:w="0" w:type="dxa"/>
            </w:tcMar>
            <w:vAlign w:val="top"/>
          </w:tcPr>
          <w:p>
            <w:r>
              <w:rPr>
                <w:color w:val="000000"/>
                <w:sz w:val="20"/>
              </w:rPr>
              <w:t xml:space="preserve">    本报告中财务资料未经审计。</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00" w:type="dxa"/>
            <w:gridSpan w:val="17"/>
            <w:tcMar>
              <w:top w:w="0" w:type="dxa"/>
              <w:left w:w="0" w:type="dxa"/>
              <w:bottom w:w="0" w:type="dxa"/>
              <w:right w:w="0" w:type="dxa"/>
            </w:tcMar>
            <w:vAlign w:val="top"/>
          </w:tcPr>
          <w:p>
            <w:r>
              <w:rPr>
                <w:color w:val="000000"/>
                <w:sz w:val="20"/>
              </w:rPr>
              <w:t xml:space="preserve">    本报告期自2020年01月01日起至03月31日止。</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exact"/>
        </w:trPr>
        <w:tc>
          <w:tcPr>
            <w:tcW w:w="1" w:type="dxa"/>
            <w:vAlign w:val="top"/>
          </w:tcPr>
          <w:p>
            <w:pPr>
              <w:pStyle w:val="4"/>
            </w:pPr>
          </w:p>
        </w:tc>
        <w:tc>
          <w:tcPr>
            <w:tcW w:w="3400" w:type="dxa"/>
            <w:gridSpan w:val="5"/>
            <w:vAlign w:val="top"/>
          </w:tcPr>
          <w:p>
            <w:pPr>
              <w:pStyle w:val="4"/>
            </w:pPr>
          </w:p>
        </w:tc>
        <w:tc>
          <w:tcPr>
            <w:tcW w:w="200" w:type="dxa"/>
            <w:vAlign w:val="top"/>
          </w:tcPr>
          <w:p>
            <w:pPr>
              <w:pStyle w:val="4"/>
            </w:pPr>
          </w:p>
        </w:tc>
        <w:tc>
          <w:tcPr>
            <w:tcW w:w="7100" w:type="dxa"/>
            <w:gridSpan w:val="11"/>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10700" w:type="dxa"/>
            <w:gridSpan w:val="17"/>
            <w:tcMar>
              <w:top w:w="0" w:type="dxa"/>
              <w:left w:w="0" w:type="dxa"/>
              <w:bottom w:w="0" w:type="dxa"/>
              <w:right w:w="0" w:type="dxa"/>
            </w:tcMar>
            <w:vAlign w:val="center"/>
          </w:tcPr>
          <w:p>
            <w:pPr>
              <w:spacing w:before="0" w:after="0" w:line="360" w:lineRule="auto"/>
            </w:pPr>
            <w:r>
              <w:rPr>
                <w:b/>
                <w:color w:val="000000"/>
                <w:sz w:val="20"/>
              </w:rPr>
              <w:t>2  产品概况</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产品名称</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金港湾瑞享12号</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产品编码</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RX12</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全国银行业理财信息登记系统编码</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C1115619000058</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产品运作方式</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开放式净值型</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产品类型</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固定收益类</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募集方式</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公募</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报告期末产品份额总额</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3,615,059,596.86</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exact"/>
        </w:trPr>
        <w:tc>
          <w:tcPr>
            <w:tcW w:w="1" w:type="dxa"/>
            <w:vAlign w:val="top"/>
          </w:tcPr>
          <w:p>
            <w:pPr>
              <w:pStyle w:val="4"/>
            </w:pPr>
          </w:p>
        </w:tc>
        <w:tc>
          <w:tcPr>
            <w:tcW w:w="3400" w:type="dxa"/>
            <w:gridSpan w:val="5"/>
            <w:vAlign w:val="top"/>
          </w:tcPr>
          <w:p>
            <w:pPr>
              <w:pStyle w:val="4"/>
            </w:pPr>
          </w:p>
        </w:tc>
        <w:tc>
          <w:tcPr>
            <w:tcW w:w="200" w:type="dxa"/>
            <w:vAlign w:val="top"/>
          </w:tcPr>
          <w:p>
            <w:pPr>
              <w:pStyle w:val="4"/>
            </w:pPr>
          </w:p>
        </w:tc>
        <w:tc>
          <w:tcPr>
            <w:tcW w:w="7100" w:type="dxa"/>
            <w:gridSpan w:val="11"/>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exact"/>
        </w:trPr>
        <w:tc>
          <w:tcPr>
            <w:tcW w:w="1" w:type="dxa"/>
            <w:vAlign w:val="top"/>
          </w:tcPr>
          <w:p>
            <w:pPr>
              <w:pStyle w:val="4"/>
            </w:pPr>
          </w:p>
        </w:tc>
        <w:tc>
          <w:tcPr>
            <w:tcW w:w="800" w:type="dxa"/>
            <w:vAlign w:val="top"/>
          </w:tcPr>
          <w:p>
            <w:pPr>
              <w:pStyle w:val="4"/>
            </w:pPr>
          </w:p>
        </w:tc>
        <w:tc>
          <w:tcPr>
            <w:tcW w:w="2600" w:type="dxa"/>
            <w:gridSpan w:val="4"/>
            <w:vAlign w:val="top"/>
          </w:tcPr>
          <w:p>
            <w:pPr>
              <w:pStyle w:val="4"/>
            </w:pPr>
          </w:p>
        </w:tc>
        <w:tc>
          <w:tcPr>
            <w:tcW w:w="600" w:type="dxa"/>
            <w:gridSpan w:val="2"/>
            <w:vAlign w:val="top"/>
          </w:tcPr>
          <w:p>
            <w:pPr>
              <w:pStyle w:val="4"/>
            </w:pPr>
          </w:p>
        </w:tc>
        <w:tc>
          <w:tcPr>
            <w:tcW w:w="20" w:type="dxa"/>
            <w:vAlign w:val="top"/>
          </w:tcPr>
          <w:p>
            <w:pPr>
              <w:pStyle w:val="4"/>
            </w:pPr>
          </w:p>
        </w:tc>
        <w:tc>
          <w:tcPr>
            <w:tcW w:w="3380" w:type="dxa"/>
            <w:gridSpan w:val="5"/>
            <w:vAlign w:val="top"/>
          </w:tcPr>
          <w:p>
            <w:pPr>
              <w:pStyle w:val="4"/>
            </w:pPr>
          </w:p>
        </w:tc>
        <w:tc>
          <w:tcPr>
            <w:tcW w:w="220" w:type="dxa"/>
            <w:vAlign w:val="top"/>
          </w:tcPr>
          <w:p>
            <w:pPr>
              <w:pStyle w:val="4"/>
            </w:pPr>
          </w:p>
        </w:tc>
        <w:tc>
          <w:tcPr>
            <w:tcW w:w="3080" w:type="dxa"/>
            <w:gridSpan w:val="3"/>
            <w:vAlign w:val="top"/>
          </w:tcPr>
          <w:p>
            <w:pPr>
              <w:pStyle w:val="4"/>
            </w:pP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10700" w:type="dxa"/>
            <w:gridSpan w:val="17"/>
            <w:tcMar>
              <w:top w:w="0" w:type="dxa"/>
              <w:left w:w="0" w:type="dxa"/>
              <w:bottom w:w="0" w:type="dxa"/>
              <w:right w:w="0" w:type="dxa"/>
            </w:tcMar>
            <w:vAlign w:val="center"/>
          </w:tcPr>
          <w:p>
            <w:pPr>
              <w:spacing w:before="0" w:after="0" w:line="360" w:lineRule="auto"/>
            </w:pPr>
            <w:r>
              <w:rPr>
                <w:rFonts w:hint="eastAsia"/>
                <w:b/>
                <w:color w:val="000000"/>
                <w:sz w:val="20"/>
                <w:lang w:val="en-US" w:eastAsia="zh-CN"/>
              </w:rPr>
              <w:t>3</w:t>
            </w:r>
            <w:r>
              <w:rPr>
                <w:b/>
                <w:color w:val="000000"/>
                <w:sz w:val="20"/>
              </w:rPr>
              <w:t xml:space="preserve">  投资组合报告</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10700" w:type="dxa"/>
            <w:gridSpan w:val="17"/>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.1 报告期末产品资产组合情况</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3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项目</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金额（元）</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占</w:t>
            </w:r>
            <w:r>
              <w:rPr>
                <w:rFonts w:hint="eastAsia"/>
                <w:b/>
                <w:color w:val="000000"/>
                <w:sz w:val="20"/>
                <w:lang w:eastAsia="zh-CN"/>
              </w:rPr>
              <w:t>资产组合</w:t>
            </w:r>
            <w:r>
              <w:rPr>
                <w:b/>
                <w:color w:val="000000"/>
                <w:sz w:val="20"/>
              </w:rPr>
              <w:t>比例（%）</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w:t>
            </w:r>
          </w:p>
        </w:tc>
        <w:tc>
          <w:tcPr>
            <w:tcW w:w="3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left"/>
              <w:textAlignment w:val="center"/>
            </w:pPr>
            <w:r>
              <w:rPr>
                <w:rFonts w:hint="eastAsia" w:ascii="宋体" w:hAnsi="宋体" w:eastAsia="宋体" w:cs="宋体"/>
                <w:i w:val="0"/>
                <w:color w:val="000000"/>
                <w:kern w:val="0"/>
                <w:sz w:val="20"/>
                <w:szCs w:val="20"/>
                <w:u w:val="none"/>
                <w:lang w:val="en-US" w:eastAsia="zh-CN" w:bidi="ar"/>
              </w:rPr>
              <w:t>固定收益投资</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rPr>
                <w:rFonts w:hint="eastAsia"/>
                <w:color w:val="000000"/>
                <w:sz w:val="20"/>
                <w:szCs w:val="22"/>
                <w:lang w:val="en-US" w:eastAsia="zh-CN"/>
              </w:rPr>
            </w:pPr>
            <w:r>
              <w:rPr>
                <w:rFonts w:hint="eastAsia"/>
                <w:color w:val="000000"/>
                <w:sz w:val="20"/>
                <w:szCs w:val="22"/>
                <w:lang w:val="en-US" w:eastAsia="zh-CN"/>
              </w:rPr>
              <w:t xml:space="preserve"> 4,105,389,467.49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rPr>
                <w:color w:val="000000"/>
                <w:sz w:val="20"/>
                <w:szCs w:val="22"/>
              </w:rPr>
            </w:pPr>
            <w:r>
              <w:rPr>
                <w:color w:val="000000"/>
                <w:sz w:val="20"/>
                <w:szCs w:val="22"/>
              </w:rPr>
              <w:t>99.88%</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left"/>
              <w:textAlignment w:val="center"/>
            </w:pPr>
            <w:r>
              <w:rPr>
                <w:rFonts w:hint="eastAsia" w:ascii="宋体" w:hAnsi="宋体" w:eastAsia="宋体" w:cs="宋体"/>
                <w:i w:val="0"/>
                <w:color w:val="000000"/>
                <w:kern w:val="0"/>
                <w:sz w:val="20"/>
                <w:szCs w:val="20"/>
                <w:u w:val="none"/>
                <w:lang w:val="en-US" w:eastAsia="zh-CN" w:bidi="ar"/>
              </w:rPr>
              <w:t>其中：银行间/交易所产品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rPr>
                <w:rFonts w:hint="eastAsia"/>
                <w:color w:val="000000"/>
                <w:sz w:val="20"/>
                <w:szCs w:val="22"/>
                <w:lang w:val="en-US" w:eastAsia="zh-CN"/>
              </w:rPr>
            </w:pPr>
            <w:r>
              <w:rPr>
                <w:rFonts w:hint="eastAsia"/>
                <w:color w:val="000000"/>
                <w:sz w:val="20"/>
                <w:szCs w:val="22"/>
                <w:lang w:val="en-US" w:eastAsia="zh-CN"/>
              </w:rPr>
              <w:t xml:space="preserve"> 3,366,677,226.52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rPr>
                <w:color w:val="000000"/>
                <w:sz w:val="20"/>
                <w:szCs w:val="22"/>
              </w:rPr>
            </w:pPr>
            <w:r>
              <w:rPr>
                <w:color w:val="000000"/>
                <w:sz w:val="20"/>
                <w:szCs w:val="22"/>
              </w:rPr>
              <w:t>81.91%</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left"/>
              <w:textAlignment w:val="center"/>
            </w:pPr>
            <w:r>
              <w:rPr>
                <w:rFonts w:hint="eastAsia" w:ascii="宋体" w:hAnsi="宋体" w:eastAsia="宋体" w:cs="宋体"/>
                <w:i w:val="0"/>
                <w:color w:val="000000"/>
                <w:kern w:val="0"/>
                <w:sz w:val="20"/>
                <w:szCs w:val="20"/>
                <w:u w:val="none"/>
                <w:lang w:val="en-US" w:eastAsia="zh-CN" w:bidi="ar"/>
              </w:rPr>
              <w:t xml:space="preserve">      其中：回购</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left"/>
              <w:textAlignment w:val="center"/>
            </w:pPr>
            <w:r>
              <w:rPr>
                <w:rFonts w:hint="eastAsia" w:ascii="宋体" w:hAnsi="宋体" w:eastAsia="宋体" w:cs="宋体"/>
                <w:i w:val="0"/>
                <w:color w:val="000000"/>
                <w:kern w:val="0"/>
                <w:sz w:val="21"/>
                <w:szCs w:val="21"/>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非银行间/非交易所产品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rPr>
                <w:rFonts w:hint="eastAsia"/>
                <w:color w:val="000000"/>
                <w:sz w:val="20"/>
                <w:szCs w:val="22"/>
                <w:lang w:val="en-US" w:eastAsia="zh-CN"/>
              </w:rPr>
            </w:pPr>
            <w:r>
              <w:rPr>
                <w:rFonts w:hint="eastAsia"/>
                <w:color w:val="000000"/>
                <w:sz w:val="20"/>
                <w:szCs w:val="22"/>
                <w:lang w:val="en-US" w:eastAsia="zh-CN"/>
              </w:rPr>
              <w:t xml:space="preserve"> 738,712,240.97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rPr>
                <w:color w:val="000000"/>
                <w:sz w:val="20"/>
                <w:szCs w:val="22"/>
              </w:rPr>
            </w:pPr>
            <w:r>
              <w:rPr>
                <w:rFonts w:hint="eastAsia"/>
                <w:color w:val="000000"/>
                <w:sz w:val="20"/>
                <w:szCs w:val="22"/>
                <w:lang w:val="en-US" w:eastAsia="zh-CN"/>
              </w:rPr>
              <w:t>17.97</w:t>
            </w:r>
            <w:r>
              <w:rPr>
                <w:color w:val="000000"/>
                <w:sz w:val="20"/>
                <w:szCs w:val="22"/>
              </w:rPr>
              <w:t>%</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2</w:t>
            </w:r>
          </w:p>
        </w:tc>
        <w:tc>
          <w:tcPr>
            <w:tcW w:w="3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银行存款合计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rPr>
                <w:color w:val="000000"/>
                <w:sz w:val="20"/>
                <w:szCs w:val="22"/>
              </w:rPr>
            </w:pPr>
            <w:r>
              <w:rPr>
                <w:rFonts w:hint="default"/>
                <w:color w:val="000000"/>
                <w:sz w:val="20"/>
                <w:szCs w:val="22"/>
                <w:lang w:eastAsia="zh-CN"/>
              </w:rPr>
              <w:t xml:space="preserve"> 4,782,799.15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rPr>
                <w:color w:val="000000"/>
                <w:sz w:val="20"/>
                <w:szCs w:val="22"/>
              </w:rPr>
            </w:pPr>
            <w:r>
              <w:rPr>
                <w:color w:val="000000"/>
                <w:sz w:val="20"/>
                <w:szCs w:val="22"/>
              </w:rPr>
              <w:t>0.12%</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3</w:t>
            </w:r>
          </w:p>
        </w:tc>
        <w:tc>
          <w:tcPr>
            <w:tcW w:w="3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其他资产</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4</w:t>
            </w:r>
          </w:p>
        </w:tc>
        <w:tc>
          <w:tcPr>
            <w:tcW w:w="3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right"/>
              <w:textAlignment w:val="center"/>
            </w:pPr>
            <w:r>
              <w:rPr>
                <w:rFonts w:hint="default"/>
                <w:color w:val="000000"/>
                <w:sz w:val="20"/>
                <w:lang w:eastAsia="zh-CN"/>
              </w:rPr>
              <w:t xml:space="preserve"> 4,110,172,266.64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exact"/>
        </w:trPr>
        <w:tc>
          <w:tcPr>
            <w:tcW w:w="1" w:type="dxa"/>
            <w:vAlign w:val="top"/>
          </w:tcPr>
          <w:p>
            <w:pPr>
              <w:pStyle w:val="4"/>
            </w:pPr>
          </w:p>
        </w:tc>
        <w:tc>
          <w:tcPr>
            <w:tcW w:w="800" w:type="dxa"/>
            <w:vAlign w:val="top"/>
          </w:tcPr>
          <w:p>
            <w:pPr>
              <w:pStyle w:val="4"/>
            </w:pPr>
          </w:p>
        </w:tc>
        <w:tc>
          <w:tcPr>
            <w:tcW w:w="2600" w:type="dxa"/>
            <w:gridSpan w:val="4"/>
            <w:vAlign w:val="top"/>
          </w:tcPr>
          <w:p>
            <w:pPr>
              <w:pStyle w:val="4"/>
            </w:pPr>
          </w:p>
        </w:tc>
        <w:tc>
          <w:tcPr>
            <w:tcW w:w="600" w:type="dxa"/>
            <w:gridSpan w:val="2"/>
            <w:vAlign w:val="top"/>
          </w:tcPr>
          <w:p>
            <w:pPr>
              <w:pStyle w:val="4"/>
            </w:pPr>
          </w:p>
        </w:tc>
        <w:tc>
          <w:tcPr>
            <w:tcW w:w="20" w:type="dxa"/>
            <w:vAlign w:val="top"/>
          </w:tcPr>
          <w:p>
            <w:pPr>
              <w:pStyle w:val="4"/>
            </w:pPr>
          </w:p>
        </w:tc>
        <w:tc>
          <w:tcPr>
            <w:tcW w:w="3380" w:type="dxa"/>
            <w:gridSpan w:val="5"/>
            <w:vAlign w:val="top"/>
          </w:tcPr>
          <w:p>
            <w:pPr>
              <w:pStyle w:val="4"/>
            </w:pPr>
          </w:p>
        </w:tc>
        <w:tc>
          <w:tcPr>
            <w:tcW w:w="220" w:type="dxa"/>
            <w:vAlign w:val="top"/>
          </w:tcPr>
          <w:p>
            <w:pPr>
              <w:pStyle w:val="4"/>
            </w:pPr>
          </w:p>
        </w:tc>
        <w:tc>
          <w:tcPr>
            <w:tcW w:w="3080" w:type="dxa"/>
            <w:gridSpan w:val="3"/>
            <w:vAlign w:val="top"/>
          </w:tcPr>
          <w:p>
            <w:pPr>
              <w:pStyle w:val="4"/>
            </w:pP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10700" w:type="dxa"/>
            <w:gridSpan w:val="17"/>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.2 报告期末按债券品种分类的债券投资组合</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322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债券品种</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金额（元）</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占资产</w:t>
            </w:r>
            <w:r>
              <w:rPr>
                <w:rFonts w:hint="eastAsia"/>
                <w:b/>
                <w:color w:val="000000"/>
                <w:sz w:val="20"/>
                <w:lang w:eastAsia="zh-CN"/>
              </w:rPr>
              <w:t>组合</w:t>
            </w:r>
            <w:r>
              <w:rPr>
                <w:b/>
                <w:color w:val="000000"/>
                <w:sz w:val="20"/>
              </w:rPr>
              <w:t>比例（％）</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w:t>
            </w:r>
          </w:p>
        </w:tc>
        <w:tc>
          <w:tcPr>
            <w:tcW w:w="322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国家债券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2</w:t>
            </w:r>
          </w:p>
        </w:tc>
        <w:tc>
          <w:tcPr>
            <w:tcW w:w="322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央行票据</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3</w:t>
            </w:r>
          </w:p>
        </w:tc>
        <w:tc>
          <w:tcPr>
            <w:tcW w:w="322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金融债券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303,095,492.57</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7.38</w:t>
            </w:r>
            <w:r>
              <w:rPr>
                <w:color w:val="000000"/>
                <w:sz w:val="20"/>
              </w:rPr>
              <w:t>%</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其中：政策性金融债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4</w:t>
            </w:r>
          </w:p>
        </w:tc>
        <w:tc>
          <w:tcPr>
            <w:tcW w:w="322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企业债券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rPr>
              <w:t xml:space="preserve"> 2,952,045,631.42 </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71.82</w:t>
            </w:r>
            <w:r>
              <w:rPr>
                <w:color w:val="000000"/>
                <w:sz w:val="20"/>
              </w:rPr>
              <w:t>%</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5</w:t>
            </w:r>
          </w:p>
        </w:tc>
        <w:tc>
          <w:tcPr>
            <w:tcW w:w="322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企业短期融资券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6</w:t>
            </w:r>
          </w:p>
        </w:tc>
        <w:tc>
          <w:tcPr>
            <w:tcW w:w="322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可转债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7</w:t>
            </w:r>
          </w:p>
        </w:tc>
        <w:tc>
          <w:tcPr>
            <w:tcW w:w="322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其他</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111,536,102.53</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2.</w:t>
            </w:r>
            <w:r>
              <w:rPr>
                <w:rFonts w:hint="eastAsia"/>
                <w:color w:val="000000"/>
                <w:sz w:val="20"/>
                <w:lang w:val="en-US" w:eastAsia="zh-CN"/>
              </w:rPr>
              <w:t>71</w:t>
            </w:r>
            <w:r>
              <w:rPr>
                <w:color w:val="000000"/>
                <w:sz w:val="20"/>
              </w:rPr>
              <w:t>%</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8</w:t>
            </w:r>
          </w:p>
        </w:tc>
        <w:tc>
          <w:tcPr>
            <w:tcW w:w="322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合计</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rPr>
              <w:t xml:space="preserve"> 3,366,677,226.52 </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81.91</w:t>
            </w:r>
            <w:r>
              <w:rPr>
                <w:color w:val="000000"/>
                <w:sz w:val="20"/>
              </w:rPr>
              <w:t>%</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exact"/>
        </w:trPr>
        <w:tc>
          <w:tcPr>
            <w:tcW w:w="11501" w:type="dxa"/>
            <w:gridSpan w:val="20"/>
            <w:vAlign w:val="center"/>
          </w:tcPr>
          <w:p>
            <w:pPr>
              <w:spacing w:before="0" w:after="0" w:line="360" w:lineRule="auto"/>
              <w:rPr>
                <w:rFonts w:hint="eastAsia"/>
                <w:color w:val="000000"/>
                <w:sz w:val="20"/>
                <w:lang w:val="en-US" w:eastAsia="zh-CN"/>
              </w:rPr>
            </w:pPr>
            <w:bookmarkStart w:id="1" w:name="JR_PAGE_ANCHOR_0_3"/>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exact"/>
        </w:trPr>
        <w:tc>
          <w:tcPr>
            <w:tcW w:w="11501" w:type="dxa"/>
            <w:gridSpan w:val="20"/>
            <w:vAlign w:val="center"/>
          </w:tcPr>
          <w:p>
            <w:pPr>
              <w:spacing w:before="0" w:after="0" w:line="360" w:lineRule="auto"/>
            </w:pPr>
            <w:r>
              <w:rPr>
                <w:rFonts w:hint="eastAsia"/>
                <w:color w:val="000000"/>
                <w:sz w:val="20"/>
                <w:lang w:val="en-US" w:eastAsia="zh-CN"/>
              </w:rPr>
              <w:t>3</w:t>
            </w:r>
            <w:r>
              <w:rPr>
                <w:color w:val="000000"/>
                <w:sz w:val="20"/>
              </w:rPr>
              <w:t>.3 报告期末按市值占产品资产净值比例大小排名的前十名资产投资明细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133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资产代码</w:t>
            </w:r>
          </w:p>
        </w:tc>
        <w:tc>
          <w:tcPr>
            <w:tcW w:w="3195"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资产名称</w:t>
            </w:r>
          </w:p>
        </w:tc>
        <w:tc>
          <w:tcPr>
            <w:tcW w:w="1675"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市值(元)</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b/>
                <w:color w:val="000000"/>
                <w:sz w:val="20"/>
              </w:rPr>
              <w:t>占产品资产净值比例（％）</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1</w:t>
            </w:r>
          </w:p>
        </w:tc>
        <w:tc>
          <w:tcPr>
            <w:tcW w:w="133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155814        </w:t>
            </w:r>
          </w:p>
        </w:tc>
        <w:tc>
          <w:tcPr>
            <w:tcW w:w="3195"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19兴业G1</w:t>
            </w:r>
          </w:p>
        </w:tc>
        <w:tc>
          <w:tcPr>
            <w:tcW w:w="1675"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134,514,770.00</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3.57%</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 w:hRule="exact"/>
        </w:trPr>
        <w:tc>
          <w:tcPr>
            <w:tcW w:w="1" w:type="dxa"/>
            <w:vAlign w:val="top"/>
          </w:tcPr>
          <w:p>
            <w:pPr>
              <w:pStyle w:val="4"/>
            </w:pPr>
          </w:p>
        </w:tc>
        <w:tc>
          <w:tcPr>
            <w:tcW w:w="800" w:type="dxa"/>
            <w:vMerge w:val="restart"/>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2</w:t>
            </w:r>
          </w:p>
        </w:tc>
        <w:tc>
          <w:tcPr>
            <w:tcW w:w="1330" w:type="dxa"/>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19088107                        </w:t>
            </w:r>
          </w:p>
        </w:tc>
        <w:tc>
          <w:tcPr>
            <w:tcW w:w="3195" w:type="dxa"/>
            <w:gridSpan w:val="8"/>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常州市城市建设（集团）有限公司2019年度第二期理财直接融资工具</w:t>
            </w:r>
          </w:p>
        </w:tc>
        <w:tc>
          <w:tcPr>
            <w:tcW w:w="1675" w:type="dxa"/>
            <w:gridSpan w:val="2"/>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100,000,000.00</w:t>
            </w:r>
          </w:p>
        </w:tc>
        <w:tc>
          <w:tcPr>
            <w:tcW w:w="2000" w:type="dxa"/>
            <w:gridSpan w:val="3"/>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100,810,928.96</w:t>
            </w:r>
          </w:p>
        </w:tc>
        <w:tc>
          <w:tcPr>
            <w:tcW w:w="1600" w:type="dxa"/>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2.67%</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exact"/>
        </w:trPr>
        <w:tc>
          <w:tcPr>
            <w:tcW w:w="1" w:type="dxa"/>
            <w:vAlign w:val="top"/>
          </w:tcPr>
          <w:p>
            <w:pPr>
              <w:pStyle w:val="4"/>
            </w:pPr>
          </w:p>
        </w:tc>
        <w:tc>
          <w:tcPr>
            <w:tcW w:w="800" w:type="dxa"/>
            <w:vMerge w:val="continue"/>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pStyle w:val="4"/>
            </w:pPr>
          </w:p>
        </w:tc>
        <w:tc>
          <w:tcPr>
            <w:tcW w:w="1330" w:type="dxa"/>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3195" w:type="dxa"/>
            <w:gridSpan w:val="8"/>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1675" w:type="dxa"/>
            <w:gridSpan w:val="2"/>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2000" w:type="dxa"/>
            <w:gridSpan w:val="3"/>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1600" w:type="dxa"/>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3</w:t>
            </w:r>
          </w:p>
        </w:tc>
        <w:tc>
          <w:tcPr>
            <w:tcW w:w="133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19088128                        </w:t>
            </w:r>
          </w:p>
        </w:tc>
        <w:tc>
          <w:tcPr>
            <w:tcW w:w="3195"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绍兴市上虞区国有资本投资运营有限公司2019年度第一期理财直接融资工具</w:t>
            </w:r>
          </w:p>
        </w:tc>
        <w:tc>
          <w:tcPr>
            <w:tcW w:w="1675"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100,275,000.00</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2.66%</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4</w:t>
            </w:r>
          </w:p>
        </w:tc>
        <w:tc>
          <w:tcPr>
            <w:tcW w:w="133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19088140                        </w:t>
            </w:r>
          </w:p>
        </w:tc>
        <w:tc>
          <w:tcPr>
            <w:tcW w:w="3195"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武汉金融控股（集团）有限公司2019年度第二期理财直接融资工具</w:t>
            </w:r>
          </w:p>
        </w:tc>
        <w:tc>
          <w:tcPr>
            <w:tcW w:w="1675"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100,081,944.44</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2.65%</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5</w:t>
            </w:r>
          </w:p>
        </w:tc>
        <w:tc>
          <w:tcPr>
            <w:tcW w:w="133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031800569       </w:t>
            </w:r>
          </w:p>
        </w:tc>
        <w:tc>
          <w:tcPr>
            <w:tcW w:w="3195"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18甬城投PPN001</w:t>
            </w:r>
          </w:p>
        </w:tc>
        <w:tc>
          <w:tcPr>
            <w:tcW w:w="1675"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83,985,972.36</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2.23%</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6</w:t>
            </w:r>
          </w:p>
        </w:tc>
        <w:tc>
          <w:tcPr>
            <w:tcW w:w="133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18088059                    </w:t>
            </w:r>
          </w:p>
        </w:tc>
        <w:tc>
          <w:tcPr>
            <w:tcW w:w="3195"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淮安市水利控股集团有限公司2018年度第一期理财直接融资工具</w:t>
            </w:r>
          </w:p>
        </w:tc>
        <w:tc>
          <w:tcPr>
            <w:tcW w:w="1675"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keepNext w:val="0"/>
              <w:keepLines w:val="0"/>
              <w:widowControl/>
              <w:suppressLineNumbers w:val="0"/>
              <w:jc w:val="right"/>
              <w:textAlignment w:val="center"/>
              <w:rPr>
                <w:rFonts w:hint="default" w:ascii="Times New Roman" w:hAnsi="Times New Roman" w:eastAsia="宋体" w:cs="Times New Roman"/>
                <w:i w:val="0"/>
                <w:color w:val="000000"/>
                <w:kern w:val="2"/>
                <w:sz w:val="20"/>
                <w:szCs w:val="20"/>
                <w:u w:val="none"/>
                <w:lang w:val="en-US" w:eastAsia="zh-CN" w:bidi="ar-SA"/>
              </w:rPr>
            </w:pPr>
            <w:r>
              <w:rPr>
                <w:rFonts w:hint="default" w:ascii="Times New Roman" w:hAnsi="Times New Roman" w:eastAsia="宋体" w:cs="Times New Roman"/>
                <w:i w:val="0"/>
                <w:color w:val="000000"/>
                <w:kern w:val="0"/>
                <w:sz w:val="20"/>
                <w:szCs w:val="20"/>
                <w:u w:val="none"/>
                <w:lang w:val="en-US" w:eastAsia="zh-CN" w:bidi="ar"/>
              </w:rPr>
              <w:t>81</w:t>
            </w:r>
            <w:r>
              <w:rPr>
                <w:rFonts w:hint="eastAsia"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985</w:t>
            </w:r>
            <w:r>
              <w:rPr>
                <w:rFonts w:hint="eastAsia"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748.63</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2.17%</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7</w:t>
            </w:r>
          </w:p>
        </w:tc>
        <w:tc>
          <w:tcPr>
            <w:tcW w:w="133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118969        </w:t>
            </w:r>
          </w:p>
        </w:tc>
        <w:tc>
          <w:tcPr>
            <w:tcW w:w="3195"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17东财C1</w:t>
            </w:r>
          </w:p>
        </w:tc>
        <w:tc>
          <w:tcPr>
            <w:tcW w:w="1675"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75,245,820.34</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2.00%</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8</w:t>
            </w:r>
          </w:p>
        </w:tc>
        <w:tc>
          <w:tcPr>
            <w:tcW w:w="133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101800755       </w:t>
            </w:r>
          </w:p>
        </w:tc>
        <w:tc>
          <w:tcPr>
            <w:tcW w:w="3195"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18陕投集团MTN004</w:t>
            </w:r>
          </w:p>
        </w:tc>
        <w:tc>
          <w:tcPr>
            <w:tcW w:w="1675"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65,402,903.28</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1.73%</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9</w:t>
            </w:r>
          </w:p>
        </w:tc>
        <w:tc>
          <w:tcPr>
            <w:tcW w:w="133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031775014       </w:t>
            </w:r>
          </w:p>
        </w:tc>
        <w:tc>
          <w:tcPr>
            <w:tcW w:w="3195"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17江宁交通PPN001</w:t>
            </w:r>
          </w:p>
        </w:tc>
        <w:tc>
          <w:tcPr>
            <w:tcW w:w="1675"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63,860,679.82</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1.69</w:t>
            </w:r>
            <w:bookmarkStart w:id="2" w:name="_GoBack"/>
            <w:bookmarkEnd w:id="2"/>
            <w:r>
              <w:rPr>
                <w:rFonts w:hint="default"/>
                <w:color w:val="000000"/>
                <w:sz w:val="20"/>
                <w:lang w:eastAsia="zh-CN"/>
              </w:rPr>
              <w:t>%</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10</w:t>
            </w:r>
          </w:p>
        </w:tc>
        <w:tc>
          <w:tcPr>
            <w:tcW w:w="133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127871        </w:t>
            </w:r>
          </w:p>
        </w:tc>
        <w:tc>
          <w:tcPr>
            <w:tcW w:w="3195"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18沛经01</w:t>
            </w:r>
          </w:p>
        </w:tc>
        <w:tc>
          <w:tcPr>
            <w:tcW w:w="1675"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54,151,483.45</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color w:val="000000"/>
                <w:sz w:val="20"/>
                <w:lang w:eastAsia="zh-CN"/>
              </w:rPr>
            </w:pPr>
            <w:r>
              <w:rPr>
                <w:rFonts w:hint="default"/>
                <w:color w:val="000000"/>
                <w:sz w:val="20"/>
                <w:lang w:eastAsia="zh-CN"/>
              </w:rPr>
              <w:t>1.44%</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exact"/>
        </w:trPr>
        <w:tc>
          <w:tcPr>
            <w:tcW w:w="1" w:type="dxa"/>
            <w:vAlign w:val="top"/>
          </w:tcPr>
          <w:p>
            <w:pPr>
              <w:pStyle w:val="4"/>
            </w:pPr>
          </w:p>
        </w:tc>
        <w:tc>
          <w:tcPr>
            <w:tcW w:w="800" w:type="dxa"/>
            <w:vAlign w:val="top"/>
          </w:tcPr>
          <w:p>
            <w:pPr>
              <w:pStyle w:val="4"/>
            </w:pPr>
          </w:p>
        </w:tc>
        <w:tc>
          <w:tcPr>
            <w:tcW w:w="1330" w:type="dxa"/>
            <w:vAlign w:val="top"/>
          </w:tcPr>
          <w:p>
            <w:pPr>
              <w:pStyle w:val="4"/>
            </w:pPr>
          </w:p>
        </w:tc>
        <w:tc>
          <w:tcPr>
            <w:tcW w:w="1070" w:type="dxa"/>
            <w:gridSpan w:val="2"/>
            <w:vAlign w:val="top"/>
          </w:tcPr>
          <w:p>
            <w:pPr>
              <w:pStyle w:val="4"/>
            </w:pPr>
          </w:p>
        </w:tc>
        <w:tc>
          <w:tcPr>
            <w:tcW w:w="2125" w:type="dxa"/>
            <w:gridSpan w:val="6"/>
            <w:vAlign w:val="top"/>
          </w:tcPr>
          <w:p>
            <w:pPr>
              <w:pStyle w:val="4"/>
            </w:pPr>
          </w:p>
        </w:tc>
        <w:tc>
          <w:tcPr>
            <w:tcW w:w="1275"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00" w:type="dxa"/>
            <w:gridSpan w:val="17"/>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.4 报告期末</w:t>
            </w:r>
            <w:r>
              <w:rPr>
                <w:rFonts w:hint="eastAsia"/>
                <w:color w:val="000000"/>
                <w:sz w:val="20"/>
                <w:lang w:eastAsia="zh-CN"/>
              </w:rPr>
              <w:t>资产</w:t>
            </w:r>
            <w:r>
              <w:rPr>
                <w:color w:val="000000"/>
                <w:sz w:val="20"/>
              </w:rPr>
              <w:t>组合流动性风险分析</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流动性资产市值（元）</w:t>
            </w:r>
          </w:p>
        </w:tc>
        <w:tc>
          <w:tcPr>
            <w:tcW w:w="34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产品资产净值（元）</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流动性资产占比（%）</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hint="eastAsia"/>
              </w:rPr>
              <w:t xml:space="preserve"> 4,782,799.15 </w:t>
            </w:r>
          </w:p>
        </w:tc>
        <w:tc>
          <w:tcPr>
            <w:tcW w:w="34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hint="eastAsia"/>
              </w:rPr>
              <w:t>3,771,419,301.06</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0.13%</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exact"/>
        </w:trPr>
        <w:tc>
          <w:tcPr>
            <w:tcW w:w="1" w:type="dxa"/>
            <w:vAlign w:val="top"/>
          </w:tcPr>
          <w:p>
            <w:pPr>
              <w:pStyle w:val="4"/>
            </w:pPr>
          </w:p>
        </w:tc>
        <w:tc>
          <w:tcPr>
            <w:tcW w:w="800" w:type="dxa"/>
            <w:vAlign w:val="top"/>
          </w:tcPr>
          <w:p>
            <w:pPr>
              <w:pStyle w:val="4"/>
            </w:pPr>
          </w:p>
        </w:tc>
        <w:tc>
          <w:tcPr>
            <w:tcW w:w="2000" w:type="dxa"/>
            <w:gridSpan w:val="2"/>
            <w:vAlign w:val="top"/>
          </w:tcPr>
          <w:p>
            <w:pPr>
              <w:pStyle w:val="4"/>
            </w:pPr>
          </w:p>
        </w:tc>
        <w:tc>
          <w:tcPr>
            <w:tcW w:w="400" w:type="dxa"/>
            <w:vAlign w:val="top"/>
          </w:tcPr>
          <w:p>
            <w:pPr>
              <w:pStyle w:val="4"/>
            </w:pPr>
          </w:p>
        </w:tc>
        <w:tc>
          <w:tcPr>
            <w:tcW w:w="1800" w:type="dxa"/>
            <w:gridSpan w:val="5"/>
            <w:vAlign w:val="top"/>
          </w:tcPr>
          <w:p>
            <w:pPr>
              <w:pStyle w:val="4"/>
            </w:pPr>
          </w:p>
        </w:tc>
        <w:tc>
          <w:tcPr>
            <w:tcW w:w="1600" w:type="dxa"/>
            <w:gridSpan w:val="2"/>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exact"/>
        </w:trPr>
        <w:tc>
          <w:tcPr>
            <w:tcW w:w="1" w:type="dxa"/>
            <w:vAlign w:val="top"/>
          </w:tcPr>
          <w:p>
            <w:pPr>
              <w:pStyle w:val="4"/>
            </w:pPr>
          </w:p>
        </w:tc>
        <w:tc>
          <w:tcPr>
            <w:tcW w:w="10700" w:type="dxa"/>
            <w:gridSpan w:val="17"/>
            <w:tcMar>
              <w:top w:w="0" w:type="dxa"/>
              <w:left w:w="0" w:type="dxa"/>
              <w:bottom w:w="0" w:type="dxa"/>
              <w:right w:w="0" w:type="dxa"/>
            </w:tcMar>
            <w:vAlign w:val="center"/>
          </w:tcPr>
          <w:p>
            <w:pPr>
              <w:spacing w:before="0" w:after="0" w:line="360" w:lineRule="auto"/>
            </w:pPr>
            <w:r>
              <w:rPr>
                <w:color w:val="000000"/>
                <w:sz w:val="20"/>
              </w:rPr>
              <w:t xml:space="preserve">    </w:t>
            </w:r>
            <w:r>
              <w:rPr>
                <w:rFonts w:hint="eastAsia"/>
                <w:color w:val="000000"/>
                <w:sz w:val="20"/>
              </w:rPr>
              <w:t>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r>
              <w:rPr>
                <w:color w:val="000000"/>
                <w:sz w:val="20"/>
              </w:rPr>
              <w:t>。</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exact"/>
        </w:trPr>
        <w:tc>
          <w:tcPr>
            <w:tcW w:w="1" w:type="dxa"/>
            <w:vAlign w:val="top"/>
          </w:tcPr>
          <w:p>
            <w:pPr>
              <w:pStyle w:val="4"/>
            </w:pPr>
          </w:p>
        </w:tc>
        <w:tc>
          <w:tcPr>
            <w:tcW w:w="800" w:type="dxa"/>
            <w:vAlign w:val="top"/>
          </w:tcPr>
          <w:p>
            <w:pPr>
              <w:pStyle w:val="4"/>
            </w:pPr>
          </w:p>
        </w:tc>
        <w:tc>
          <w:tcPr>
            <w:tcW w:w="2000" w:type="dxa"/>
            <w:gridSpan w:val="2"/>
            <w:vAlign w:val="top"/>
          </w:tcPr>
          <w:p>
            <w:pPr>
              <w:pStyle w:val="4"/>
            </w:pPr>
          </w:p>
        </w:tc>
        <w:tc>
          <w:tcPr>
            <w:tcW w:w="400" w:type="dxa"/>
            <w:vAlign w:val="top"/>
          </w:tcPr>
          <w:p>
            <w:pPr>
              <w:pStyle w:val="4"/>
            </w:pPr>
          </w:p>
        </w:tc>
        <w:tc>
          <w:tcPr>
            <w:tcW w:w="1800" w:type="dxa"/>
            <w:gridSpan w:val="5"/>
            <w:vAlign w:val="top"/>
          </w:tcPr>
          <w:p>
            <w:pPr>
              <w:pStyle w:val="4"/>
            </w:pPr>
          </w:p>
        </w:tc>
        <w:tc>
          <w:tcPr>
            <w:tcW w:w="1600" w:type="dxa"/>
            <w:gridSpan w:val="2"/>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00" w:type="dxa"/>
            <w:gridSpan w:val="17"/>
            <w:tcMar>
              <w:top w:w="0" w:type="dxa"/>
              <w:left w:w="0" w:type="dxa"/>
              <w:bottom w:w="0" w:type="dxa"/>
              <w:right w:w="0" w:type="dxa"/>
            </w:tcMar>
            <w:vAlign w:val="top"/>
          </w:tcPr>
          <w:p>
            <w:pPr>
              <w:spacing w:before="0" w:after="0" w:line="360" w:lineRule="auto"/>
            </w:pPr>
            <w:r>
              <w:rPr>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00" w:type="dxa"/>
            <w:gridSpan w:val="17"/>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00" w:type="dxa"/>
            <w:gridSpan w:val="17"/>
            <w:tcMar>
              <w:top w:w="0" w:type="dxa"/>
              <w:left w:w="0" w:type="dxa"/>
              <w:bottom w:w="0" w:type="dxa"/>
              <w:right w:w="0" w:type="dxa"/>
            </w:tcMar>
            <w:vAlign w:val="top"/>
          </w:tcPr>
          <w:p>
            <w:pPr>
              <w:spacing w:before="0" w:after="0" w:line="360" w:lineRule="auto"/>
              <w:jc w:val="right"/>
            </w:pPr>
            <w:r>
              <w:rPr>
                <w:color w:val="000000"/>
                <w:sz w:val="20"/>
              </w:rPr>
              <w:t>2020年03月31日</w:t>
            </w:r>
          </w:p>
        </w:tc>
        <w:tc>
          <w:tcPr>
            <w:tcW w:w="800" w:type="dxa"/>
            <w:gridSpan w:val="2"/>
            <w:vAlign w:val="top"/>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原版宋体">
    <w:altName w:val="宋体"/>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8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62F42D6"/>
    <w:rsid w:val="079528D0"/>
    <w:rsid w:val="164866F6"/>
    <w:rsid w:val="1D2D4DB7"/>
    <w:rsid w:val="220B6C94"/>
    <w:rsid w:val="24F0732F"/>
    <w:rsid w:val="26E23AB1"/>
    <w:rsid w:val="29746092"/>
    <w:rsid w:val="2D7B7C2A"/>
    <w:rsid w:val="3F6E21FF"/>
    <w:rsid w:val="48F029B1"/>
    <w:rsid w:val="48F72F01"/>
    <w:rsid w:val="5018311E"/>
    <w:rsid w:val="5D682936"/>
    <w:rsid w:val="6A052143"/>
    <w:rsid w:val="706F79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uiPriority w:val="0"/>
    <w:rPr>
      <w:rFonts w:ascii="Times New Roman" w:hAnsi="Times New Roman" w:eastAsia="宋体" w:cs="Times New Roman"/>
      <w:color w:val="000000"/>
      <w:sz w:val="1"/>
      <w:lang w:val="en-US" w:eastAsia="zh-CN" w:bidi="ar-SA"/>
    </w:rPr>
  </w:style>
  <w:style w:type="character" w:customStyle="1" w:styleId="5">
    <w:name w:val="font31"/>
    <w:basedOn w:val="3"/>
    <w:uiPriority w:val="0"/>
    <w:rPr>
      <w:rFonts w:ascii="Calibri" w:hAnsi="Calibri" w:cs="Calibri"/>
      <w:color w:val="000000"/>
      <w:sz w:val="21"/>
      <w:szCs w:val="21"/>
      <w:u w:val="none"/>
    </w:rPr>
  </w:style>
  <w:style w:type="character" w:customStyle="1" w:styleId="6">
    <w:name w:val="font11"/>
    <w:basedOn w:val="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5</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2020-04-04T04:44:00Z</dcterms:created>
  <dc:creator>zrc</dc:creator>
  <cp:lastModifiedBy>宋芳玉</cp:lastModifiedBy>
  <dcterms:modified xsi:type="dcterms:W3CDTF">2020-04-14T02:43:18Z</dcterms:modified>
  <dc:title>宋芳玉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