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2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20"/>
        <w:gridCol w:w="980"/>
        <w:gridCol w:w="220"/>
        <w:gridCol w:w="1380"/>
        <w:gridCol w:w="400"/>
        <w:gridCol w:w="400"/>
        <w:gridCol w:w="220"/>
        <w:gridCol w:w="1380"/>
        <w:gridCol w:w="106"/>
        <w:gridCol w:w="1494"/>
        <w:gridCol w:w="100"/>
        <w:gridCol w:w="240"/>
        <w:gridCol w:w="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  <w:vAlign w:val="top"/>
          </w:tcPr>
          <w:p>
            <w:pPr>
              <w:pStyle w:val="4"/>
            </w:pPr>
          </w:p>
        </w:tc>
        <w:tc>
          <w:tcPr>
            <w:tcW w:w="200" w:type="dxa"/>
            <w:vAlign w:val="top"/>
          </w:tcPr>
          <w:p>
            <w:pPr>
              <w:pStyle w:val="4"/>
            </w:pPr>
          </w:p>
        </w:tc>
        <w:tc>
          <w:tcPr>
            <w:tcW w:w="7100" w:type="dxa"/>
            <w:gridSpan w:val="12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color w:val="000000"/>
                <w:sz w:val="40"/>
              </w:rPr>
              <w:t>“金港湾瑞享12号私银版”定期报告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4"/>
            </w:pPr>
          </w:p>
        </w:tc>
        <w:tc>
          <w:tcPr>
            <w:tcW w:w="200" w:type="dxa"/>
            <w:vAlign w:val="top"/>
          </w:tcPr>
          <w:p>
            <w:pPr>
              <w:pStyle w:val="4"/>
            </w:pPr>
          </w:p>
        </w:tc>
        <w:tc>
          <w:tcPr>
            <w:tcW w:w="7100" w:type="dxa"/>
            <w:gridSpan w:val="12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产品托管人：</w:t>
            </w:r>
            <w:r>
              <w:rPr>
                <w:rFonts w:hint="eastAsia"/>
                <w:color w:val="000000"/>
                <w:sz w:val="20"/>
                <w:lang w:eastAsia="zh-CN"/>
              </w:rPr>
              <w:t>招商银行股份有限公司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发布时间：2020年03月31日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4"/>
            </w:pPr>
          </w:p>
        </w:tc>
        <w:tc>
          <w:tcPr>
            <w:tcW w:w="200" w:type="dxa"/>
            <w:vAlign w:val="top"/>
          </w:tcPr>
          <w:p>
            <w:pPr>
              <w:pStyle w:val="4"/>
            </w:pPr>
          </w:p>
        </w:tc>
        <w:tc>
          <w:tcPr>
            <w:tcW w:w="7100" w:type="dxa"/>
            <w:gridSpan w:val="12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b/>
                <w:color w:val="000000"/>
                <w:sz w:val="20"/>
              </w:rPr>
              <w:t>1  重要提示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4"/>
            </w:pPr>
          </w:p>
        </w:tc>
        <w:tc>
          <w:tcPr>
            <w:tcW w:w="200" w:type="dxa"/>
            <w:vAlign w:val="top"/>
          </w:tcPr>
          <w:p>
            <w:pPr>
              <w:pStyle w:val="4"/>
            </w:pPr>
          </w:p>
        </w:tc>
        <w:tc>
          <w:tcPr>
            <w:tcW w:w="7100" w:type="dxa"/>
            <w:gridSpan w:val="12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b/>
                <w:color w:val="000000"/>
                <w:sz w:val="20"/>
              </w:rPr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b/>
                <w:color w:val="000000"/>
                <w:sz w:val="20"/>
              </w:rPr>
              <w:t>2  产品概况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金港湾瑞享12号私银版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RXS12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C1115619000094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开放式净值型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固定收益类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公募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153,574,640.62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/>
                <w:b/>
                <w:color w:val="000000"/>
                <w:sz w:val="20"/>
                <w:lang w:val="en-US" w:eastAsia="zh-CN"/>
              </w:rPr>
            </w:pP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3</w:t>
            </w:r>
            <w:r>
              <w:rPr>
                <w:color w:val="000000"/>
                <w:sz w:val="20"/>
              </w:rPr>
              <w:t>.1 报告期末产品资产组合情况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占</w:t>
            </w:r>
            <w:r>
              <w:rPr>
                <w:rFonts w:hint="eastAsia"/>
                <w:b/>
                <w:color w:val="000000"/>
                <w:sz w:val="20"/>
                <w:lang w:eastAsia="zh-CN"/>
              </w:rPr>
              <w:t>资产组合</w:t>
            </w:r>
            <w:r>
              <w:rPr>
                <w:b/>
                <w:color w:val="000000"/>
                <w:sz w:val="20"/>
              </w:rPr>
              <w:t>的比例（%）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/>
                <w:color w:val="000000"/>
                <w:sz w:val="20"/>
                <w:lang w:eastAsia="zh-CN"/>
              </w:rPr>
              <w:t xml:space="preserve"> 151,927,145.21 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/>
                <w:color w:val="000000"/>
                <w:sz w:val="20"/>
                <w:lang w:eastAsia="zh-CN"/>
              </w:rPr>
              <w:t>97.36%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其中：银行间/交易所产品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其中：回购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1"/>
                <w:u w:val="none"/>
                <w:lang w:eastAsia="zh-CN"/>
              </w:rPr>
              <w:t xml:space="preserve">   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非银行间/非交易所产品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default"/>
                <w:color w:val="000000"/>
                <w:sz w:val="20"/>
                <w:lang w:eastAsia="zh-CN"/>
              </w:rPr>
              <w:t xml:space="preserve">  151,927,145.21  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default"/>
                <w:color w:val="000000"/>
                <w:sz w:val="20"/>
                <w:lang w:eastAsia="zh-CN"/>
              </w:rPr>
              <w:t>97.36%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4,119,795.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50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2.64%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/>
              </w:rPr>
              <w:t>156,046,940.71</w:t>
            </w:r>
          </w:p>
        </w:tc>
        <w:tc>
          <w:tcPr>
            <w:tcW w:w="3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100.00%</w:t>
            </w: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vAlign w:val="top"/>
          </w:tcPr>
          <w:p>
            <w:pPr>
              <w:pStyle w:val="4"/>
            </w:pPr>
          </w:p>
        </w:tc>
        <w:tc>
          <w:tcPr>
            <w:tcW w:w="2600" w:type="dxa"/>
            <w:gridSpan w:val="3"/>
            <w:vAlign w:val="top"/>
          </w:tcPr>
          <w:p>
            <w:pPr>
              <w:pStyle w:val="4"/>
            </w:pPr>
          </w:p>
        </w:tc>
        <w:tc>
          <w:tcPr>
            <w:tcW w:w="600" w:type="dxa"/>
            <w:gridSpan w:val="2"/>
            <w:vAlign w:val="top"/>
          </w:tcPr>
          <w:p>
            <w:pPr>
              <w:pStyle w:val="4"/>
            </w:pPr>
          </w:p>
        </w:tc>
        <w:tc>
          <w:tcPr>
            <w:tcW w:w="20" w:type="dxa"/>
            <w:vAlign w:val="top"/>
          </w:tcPr>
          <w:p>
            <w:pPr>
              <w:pStyle w:val="4"/>
            </w:pPr>
          </w:p>
        </w:tc>
        <w:tc>
          <w:tcPr>
            <w:tcW w:w="3380" w:type="dxa"/>
            <w:gridSpan w:val="5"/>
            <w:vAlign w:val="top"/>
          </w:tcPr>
          <w:p>
            <w:pPr>
              <w:pStyle w:val="4"/>
            </w:pPr>
          </w:p>
        </w:tc>
        <w:tc>
          <w:tcPr>
            <w:tcW w:w="220" w:type="dxa"/>
            <w:vAlign w:val="top"/>
          </w:tcPr>
          <w:p>
            <w:pPr>
              <w:pStyle w:val="4"/>
            </w:pPr>
          </w:p>
        </w:tc>
        <w:tc>
          <w:tcPr>
            <w:tcW w:w="3080" w:type="dxa"/>
            <w:gridSpan w:val="4"/>
            <w:vAlign w:val="top"/>
          </w:tcPr>
          <w:p>
            <w:pPr>
              <w:pStyle w:val="4"/>
            </w:pPr>
          </w:p>
        </w:tc>
        <w:tc>
          <w:tcPr>
            <w:tcW w:w="240" w:type="dxa"/>
            <w:vAlign w:val="top"/>
          </w:tcPr>
          <w:p>
            <w:pPr>
              <w:pStyle w:val="4"/>
            </w:pPr>
          </w:p>
        </w:tc>
        <w:tc>
          <w:tcPr>
            <w:tcW w:w="340" w:type="dxa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exact"/>
        </w:trPr>
        <w:tc>
          <w:tcPr>
            <w:tcW w:w="1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pStyle w:val="4"/>
            </w:pPr>
            <w:bookmarkStart w:id="1" w:name="JR_PAGE_ANCHOR_0_3"/>
            <w:bookmarkEnd w:id="1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 w:val="0"/>
                <w:bCs/>
                <w:color w:val="000000"/>
                <w:sz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 w:val="0"/>
                <w:bCs/>
                <w:color w:val="000000"/>
                <w:sz w:val="20"/>
              </w:rPr>
            </w:pPr>
          </w:p>
        </w:tc>
        <w:tc>
          <w:tcPr>
            <w:tcW w:w="22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 w:val="0"/>
                <w:bCs/>
                <w:color w:val="000000"/>
                <w:sz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 w:val="0"/>
                <w:bCs/>
                <w:color w:val="000000"/>
                <w:sz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 w:val="0"/>
                <w:bCs/>
                <w:color w:val="000000"/>
                <w:sz w:val="2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b w:val="0"/>
                <w:bCs/>
                <w:color w:val="000000"/>
                <w:sz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</w:tcBorders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</w:trPr>
        <w:tc>
          <w:tcPr>
            <w:tcW w:w="1" w:type="dxa"/>
            <w:tcBorders>
              <w:top w:val="nil"/>
              <w:right w:val="nil"/>
            </w:tcBorders>
            <w:vAlign w:val="top"/>
          </w:tcPr>
          <w:p>
            <w:pPr>
              <w:pStyle w:val="4"/>
            </w:pPr>
          </w:p>
        </w:tc>
        <w:tc>
          <w:tcPr>
            <w:tcW w:w="10600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eastAsia="宋体"/>
                <w:b w:val="0"/>
                <w:bCs/>
                <w:color w:val="0000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sz w:val="20"/>
                <w:lang w:val="en-US" w:eastAsia="zh-CN"/>
              </w:rPr>
              <w:t>3.2报告期末市值占产品资产净值比例大小排名的前十名资产投资明细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</w:tcBorders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" w:type="dxa"/>
            <w:tcBorders>
              <w:right w:val="single" w:color="auto" w:sz="4" w:space="0"/>
            </w:tcBorders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资产代码</w:t>
            </w:r>
          </w:p>
        </w:tc>
        <w:tc>
          <w:tcPr>
            <w:tcW w:w="2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资产名称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数量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市值(元)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b/>
                <w:color w:val="000000"/>
                <w:sz w:val="20"/>
              </w:rPr>
              <w:t>占资产净值比例（％）</w:t>
            </w:r>
          </w:p>
        </w:tc>
        <w:tc>
          <w:tcPr>
            <w:tcW w:w="100" w:type="dxa"/>
            <w:tcBorders>
              <w:top w:val="nil"/>
              <w:left w:val="single" w:color="auto" w:sz="4" w:space="0"/>
              <w:bottom w:val="nil"/>
            </w:tcBorders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tcBorders>
              <w:top w:val="nil"/>
              <w:bottom w:val="nil"/>
            </w:tcBorders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420" w:type="dxa"/>
            <w:gridSpan w:val="7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85,200,000.00</w:t>
            </w: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hint="eastAsia"/>
                <w:color w:val="000000"/>
                <w:sz w:val="20"/>
              </w:rPr>
              <w:t xml:space="preserve"> 101,899,200.00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hint="eastAsia"/>
                <w:color w:val="000000"/>
                <w:sz w:val="20"/>
              </w:rPr>
            </w:pPr>
            <w:r>
              <w:rPr>
                <w:rFonts w:hint="default"/>
                <w:color w:val="000000"/>
                <w:sz w:val="20"/>
                <w:lang w:eastAsia="zh-CN"/>
              </w:rPr>
              <w:t>65.32%</w:t>
            </w:r>
          </w:p>
        </w:tc>
        <w:tc>
          <w:tcPr>
            <w:tcW w:w="100" w:type="dxa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19088069                    </w:t>
            </w:r>
          </w:p>
        </w:tc>
        <w:tc>
          <w:tcPr>
            <w:tcW w:w="242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无锡市新发集团有限公司2019年度第一期理财直接融资工具</w:t>
            </w:r>
          </w:p>
        </w:tc>
        <w:tc>
          <w:tcPr>
            <w:tcW w:w="17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50,000,000.00</w:t>
            </w:r>
          </w:p>
        </w:tc>
        <w:tc>
          <w:tcPr>
            <w:tcW w:w="210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hint="eastAsia"/>
              </w:rPr>
              <w:t xml:space="preserve"> 50,027,945.21</w:t>
            </w:r>
          </w:p>
        </w:tc>
        <w:tc>
          <w:tcPr>
            <w:tcW w:w="14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hint="eastAsia"/>
                <w:color w:val="000000"/>
                <w:sz w:val="20"/>
              </w:rPr>
            </w:pPr>
            <w:r>
              <w:rPr>
                <w:rFonts w:hint="default"/>
                <w:color w:val="000000"/>
                <w:sz w:val="20"/>
                <w:lang w:eastAsia="zh-CN"/>
              </w:rPr>
              <w:t>32.07%</w:t>
            </w:r>
          </w:p>
        </w:tc>
        <w:tc>
          <w:tcPr>
            <w:tcW w:w="100" w:type="dxa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vAlign w:val="top"/>
          </w:tcPr>
          <w:p>
            <w:pPr>
              <w:pStyle w:val="4"/>
            </w:pPr>
          </w:p>
        </w:tc>
        <w:tc>
          <w:tcPr>
            <w:tcW w:w="2000" w:type="dxa"/>
            <w:vAlign w:val="top"/>
          </w:tcPr>
          <w:p>
            <w:pPr>
              <w:pStyle w:val="4"/>
            </w:pPr>
          </w:p>
        </w:tc>
        <w:tc>
          <w:tcPr>
            <w:tcW w:w="400" w:type="dxa"/>
            <w:vAlign w:val="top"/>
          </w:tcPr>
          <w:p>
            <w:pPr>
              <w:pStyle w:val="4"/>
            </w:pPr>
          </w:p>
        </w:tc>
        <w:tc>
          <w:tcPr>
            <w:tcW w:w="2020" w:type="dxa"/>
            <w:gridSpan w:val="6"/>
            <w:vAlign w:val="top"/>
          </w:tcPr>
          <w:p>
            <w:pPr>
              <w:pStyle w:val="4"/>
            </w:pPr>
          </w:p>
        </w:tc>
        <w:tc>
          <w:tcPr>
            <w:tcW w:w="1380" w:type="dxa"/>
            <w:vAlign w:val="top"/>
          </w:tcPr>
          <w:p>
            <w:pPr>
              <w:pStyle w:val="4"/>
            </w:pPr>
          </w:p>
        </w:tc>
        <w:tc>
          <w:tcPr>
            <w:tcW w:w="400" w:type="dxa"/>
            <w:vAlign w:val="top"/>
          </w:tcPr>
          <w:p>
            <w:pPr>
              <w:pStyle w:val="4"/>
            </w:pPr>
          </w:p>
        </w:tc>
        <w:tc>
          <w:tcPr>
            <w:tcW w:w="2106" w:type="dxa"/>
            <w:gridSpan w:val="4"/>
            <w:vAlign w:val="top"/>
          </w:tcPr>
          <w:p>
            <w:pPr>
              <w:pStyle w:val="4"/>
            </w:pPr>
          </w:p>
        </w:tc>
        <w:tc>
          <w:tcPr>
            <w:tcW w:w="1494" w:type="dxa"/>
            <w:vAlign w:val="top"/>
          </w:tcPr>
          <w:p>
            <w:pPr>
              <w:pStyle w:val="4"/>
            </w:pPr>
          </w:p>
        </w:tc>
        <w:tc>
          <w:tcPr>
            <w:tcW w:w="100" w:type="dxa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3</w:t>
            </w:r>
            <w:r>
              <w:rPr>
                <w:color w:val="000000"/>
                <w:sz w:val="20"/>
              </w:rPr>
              <w:t>.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3</w:t>
            </w:r>
            <w:r>
              <w:rPr>
                <w:color w:val="000000"/>
                <w:sz w:val="20"/>
              </w:rPr>
              <w:t xml:space="preserve"> 报告期末</w:t>
            </w:r>
            <w:r>
              <w:rPr>
                <w:rFonts w:hint="eastAsia"/>
                <w:color w:val="000000"/>
                <w:sz w:val="20"/>
                <w:lang w:eastAsia="zh-CN"/>
              </w:rPr>
              <w:t>资产</w:t>
            </w:r>
            <w:bookmarkStart w:id="2" w:name="_GoBack"/>
            <w:bookmarkEnd w:id="2"/>
            <w:r>
              <w:rPr>
                <w:color w:val="000000"/>
                <w:sz w:val="20"/>
              </w:rPr>
              <w:t>组合流动性风险分析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4,119,795.</w:t>
            </w:r>
            <w:r>
              <w:rPr>
                <w:rFonts w:hint="eastAsia"/>
                <w:color w:val="000000"/>
                <w:sz w:val="20"/>
                <w:lang w:val="en-US" w:eastAsia="zh-CN"/>
              </w:rPr>
              <w:t>50</w:t>
            </w:r>
          </w:p>
        </w:tc>
        <w:tc>
          <w:tcPr>
            <w:tcW w:w="34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/>
                <w:color w:val="000000"/>
                <w:sz w:val="20"/>
                <w:lang w:eastAsia="zh-CN"/>
              </w:rPr>
              <w:t>155,998,226.93</w:t>
            </w:r>
          </w:p>
        </w:tc>
        <w:tc>
          <w:tcPr>
            <w:tcW w:w="4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2.64%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vAlign w:val="top"/>
          </w:tcPr>
          <w:p>
            <w:pPr>
              <w:pStyle w:val="4"/>
            </w:pPr>
          </w:p>
        </w:tc>
        <w:tc>
          <w:tcPr>
            <w:tcW w:w="2000" w:type="dxa"/>
            <w:vAlign w:val="top"/>
          </w:tcPr>
          <w:p>
            <w:pPr>
              <w:pStyle w:val="4"/>
            </w:pPr>
          </w:p>
        </w:tc>
        <w:tc>
          <w:tcPr>
            <w:tcW w:w="400" w:type="dxa"/>
            <w:vAlign w:val="top"/>
          </w:tcPr>
          <w:p>
            <w:pPr>
              <w:pStyle w:val="4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4"/>
            </w:pPr>
          </w:p>
        </w:tc>
        <w:tc>
          <w:tcPr>
            <w:tcW w:w="1600" w:type="dxa"/>
            <w:gridSpan w:val="2"/>
            <w:vAlign w:val="top"/>
          </w:tcPr>
          <w:p>
            <w:pPr>
              <w:pStyle w:val="4"/>
            </w:pPr>
          </w:p>
        </w:tc>
        <w:tc>
          <w:tcPr>
            <w:tcW w:w="400" w:type="dxa"/>
            <w:vAlign w:val="top"/>
          </w:tcPr>
          <w:p>
            <w:pPr>
              <w:pStyle w:val="4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4"/>
            </w:pPr>
          </w:p>
        </w:tc>
        <w:tc>
          <w:tcPr>
            <w:tcW w:w="1600" w:type="dxa"/>
            <w:gridSpan w:val="2"/>
            <w:vAlign w:val="top"/>
          </w:tcPr>
          <w:p>
            <w:pPr>
              <w:pStyle w:val="4"/>
            </w:pPr>
          </w:p>
        </w:tc>
        <w:tc>
          <w:tcPr>
            <w:tcW w:w="100" w:type="dxa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 xml:space="preserve">    </w:t>
            </w:r>
            <w:r>
              <w:rPr>
                <w:rFonts w:hint="eastAsia"/>
                <w:color w:val="000000"/>
                <w:sz w:val="20"/>
              </w:rPr>
              <w:t>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</w:t>
            </w:r>
            <w:r>
              <w:rPr>
                <w:color w:val="000000"/>
                <w:sz w:val="20"/>
              </w:rPr>
              <w:t>。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800" w:type="dxa"/>
            <w:vAlign w:val="top"/>
          </w:tcPr>
          <w:p>
            <w:pPr>
              <w:pStyle w:val="4"/>
            </w:pPr>
          </w:p>
        </w:tc>
        <w:tc>
          <w:tcPr>
            <w:tcW w:w="2000" w:type="dxa"/>
            <w:vAlign w:val="top"/>
          </w:tcPr>
          <w:p>
            <w:pPr>
              <w:pStyle w:val="4"/>
            </w:pPr>
          </w:p>
        </w:tc>
        <w:tc>
          <w:tcPr>
            <w:tcW w:w="400" w:type="dxa"/>
            <w:vAlign w:val="top"/>
          </w:tcPr>
          <w:p>
            <w:pPr>
              <w:pStyle w:val="4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4"/>
            </w:pPr>
          </w:p>
        </w:tc>
        <w:tc>
          <w:tcPr>
            <w:tcW w:w="1600" w:type="dxa"/>
            <w:gridSpan w:val="2"/>
            <w:vAlign w:val="top"/>
          </w:tcPr>
          <w:p>
            <w:pPr>
              <w:pStyle w:val="4"/>
            </w:pPr>
          </w:p>
        </w:tc>
        <w:tc>
          <w:tcPr>
            <w:tcW w:w="400" w:type="dxa"/>
            <w:vAlign w:val="top"/>
          </w:tcPr>
          <w:p>
            <w:pPr>
              <w:pStyle w:val="4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4"/>
            </w:pPr>
          </w:p>
        </w:tc>
        <w:tc>
          <w:tcPr>
            <w:tcW w:w="1600" w:type="dxa"/>
            <w:gridSpan w:val="2"/>
            <w:vAlign w:val="top"/>
          </w:tcPr>
          <w:p>
            <w:pPr>
              <w:pStyle w:val="4"/>
            </w:pPr>
          </w:p>
        </w:tc>
        <w:tc>
          <w:tcPr>
            <w:tcW w:w="100" w:type="dxa"/>
            <w:vAlign w:val="top"/>
          </w:tcPr>
          <w:p>
            <w:pPr>
              <w:pStyle w:val="4"/>
            </w:pP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 xml:space="preserve">    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580" w:type="dxa"/>
            <w:gridSpan w:val="2"/>
            <w:vAlign w:val="center"/>
          </w:tcPr>
          <w:p>
            <w:pPr>
              <w:ind w:right="160" w:rightChars="0"/>
              <w:jc w:val="righ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4"/>
            </w:pPr>
          </w:p>
        </w:tc>
        <w:tc>
          <w:tcPr>
            <w:tcW w:w="107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color w:val="000000"/>
                <w:sz w:val="20"/>
              </w:rPr>
              <w:t>2020年03月31日</w:t>
            </w:r>
          </w:p>
        </w:tc>
        <w:tc>
          <w:tcPr>
            <w:tcW w:w="580" w:type="dxa"/>
            <w:gridSpan w:val="2"/>
            <w:vAlign w:val="top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800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CE310EA"/>
    <w:rsid w:val="39DA4E03"/>
    <w:rsid w:val="449139EC"/>
    <w:rsid w:val="46753B9B"/>
    <w:rsid w:val="65457777"/>
    <w:rsid w:val="73E73A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uiPriority w:val="0"/>
    <w:rPr>
      <w:rFonts w:ascii="Times New Roman" w:hAnsi="Times New Roman" w:eastAsia="宋体" w:cs="Times New Roman"/>
      <w:color w:val="000000"/>
      <w:sz w:val="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2020-04-03T20:22:00Z</dcterms:created>
  <dc:creator>zrc</dc:creator>
  <cp:lastModifiedBy>宋芳玉</cp:lastModifiedBy>
  <dcterms:modified xsi:type="dcterms:W3CDTF">2020-04-12T08:36:01Z</dcterms:modified>
  <dc:title>“金港湾瑞享12号私银版”定期报告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