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50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
        <w:gridCol w:w="800"/>
        <w:gridCol w:w="2000"/>
        <w:gridCol w:w="400"/>
        <w:gridCol w:w="200"/>
        <w:gridCol w:w="200"/>
        <w:gridCol w:w="400"/>
        <w:gridCol w:w="20"/>
        <w:gridCol w:w="980"/>
        <w:gridCol w:w="1600"/>
        <w:gridCol w:w="400"/>
        <w:gridCol w:w="400"/>
        <w:gridCol w:w="220"/>
        <w:gridCol w:w="1380"/>
        <w:gridCol w:w="1600"/>
        <w:gridCol w:w="100"/>
        <w:gridCol w:w="20"/>
        <w:gridCol w:w="780"/>
      </w:tblGrid>
      <w:tr>
        <w:trPr>
          <w:trHeight w:val="0" w:hRule="atLeast"/>
        </w:trPr>
        <w:tc>
          <w:tcPr>
            <w:tcW w:w="1" w:type="dxa"/>
            <w:vAlign w:val="top"/>
          </w:tcPr>
          <w:p>
            <w:pPr>
              <w:pStyle w:val="3"/>
            </w:pPr>
            <w:bookmarkStart w:id="0" w:name="JR_PAGE_ANCHOR_0_1"/>
            <w:bookmarkEnd w:id="0"/>
          </w:p>
        </w:tc>
        <w:tc>
          <w:tcPr>
            <w:tcW w:w="3400" w:type="dxa"/>
            <w:gridSpan w:val="4"/>
            <w:vAlign w:val="top"/>
          </w:tcPr>
          <w:p>
            <w:pPr>
              <w:pStyle w:val="3"/>
            </w:pPr>
          </w:p>
        </w:tc>
        <w:tc>
          <w:tcPr>
            <w:tcW w:w="200" w:type="dxa"/>
            <w:vAlign w:val="top"/>
          </w:tcPr>
          <w:p>
            <w:pPr>
              <w:pStyle w:val="3"/>
            </w:pPr>
          </w:p>
        </w:tc>
        <w:tc>
          <w:tcPr>
            <w:tcW w:w="7100" w:type="dxa"/>
            <w:gridSpan w:val="10"/>
            <w:vAlign w:val="top"/>
          </w:tcPr>
          <w:p>
            <w:pPr>
              <w:pStyle w:val="3"/>
            </w:pPr>
          </w:p>
        </w:tc>
        <w:tc>
          <w:tcPr>
            <w:tcW w:w="800" w:type="dxa"/>
            <w:gridSpan w:val="2"/>
            <w:vAlign w:val="top"/>
          </w:tcPr>
          <w:p>
            <w:pPr>
              <w:pStyle w:val="3"/>
            </w:pPr>
          </w:p>
        </w:tc>
      </w:tr>
      <w:tr>
        <w:trPr>
          <w:trHeight w:val="1020" w:hRule="exact"/>
        </w:trPr>
        <w:tc>
          <w:tcPr>
            <w:tcW w:w="1" w:type="dxa"/>
            <w:vAlign w:val="top"/>
          </w:tcPr>
          <w:p>
            <w:pPr>
              <w:pStyle w:val="3"/>
            </w:pPr>
          </w:p>
        </w:tc>
        <w:tc>
          <w:tcPr>
            <w:tcW w:w="10700" w:type="dxa"/>
            <w:gridSpan w:val="15"/>
            <w:tcMar>
              <w:top w:w="0" w:type="dxa"/>
              <w:left w:w="0" w:type="dxa"/>
              <w:bottom w:w="0" w:type="dxa"/>
              <w:right w:w="0" w:type="dxa"/>
            </w:tcMar>
            <w:vAlign w:val="center"/>
          </w:tcPr>
          <w:p>
            <w:pPr>
              <w:spacing w:before="0" w:after="0" w:line="240" w:lineRule="auto"/>
              <w:jc w:val="center"/>
            </w:pPr>
            <w:r>
              <w:rPr>
                <w:b/>
                <w:color w:val="000000"/>
                <w:sz w:val="40"/>
              </w:rPr>
              <w:t>“</w:t>
            </w:r>
            <w:r>
              <w:rPr>
                <w:rFonts w:hint="eastAsia"/>
                <w:b/>
                <w:color w:val="000000"/>
                <w:sz w:val="40"/>
                <w:lang w:eastAsia="zh-CN"/>
              </w:rPr>
              <w:t>金港湾</w:t>
            </w:r>
            <w:r>
              <w:rPr>
                <w:b/>
                <w:color w:val="000000"/>
                <w:sz w:val="40"/>
              </w:rPr>
              <w:t>悠享周开1号”定期报告</w:t>
            </w:r>
          </w:p>
        </w:tc>
        <w:tc>
          <w:tcPr>
            <w:tcW w:w="800" w:type="dxa"/>
            <w:gridSpan w:val="2"/>
            <w:vAlign w:val="top"/>
          </w:tcPr>
          <w:p>
            <w:pPr>
              <w:pStyle w:val="3"/>
            </w:pPr>
          </w:p>
        </w:tc>
      </w:tr>
      <w:tr>
        <w:trPr>
          <w:trHeight w:val="190" w:hRule="exact"/>
        </w:trPr>
        <w:tc>
          <w:tcPr>
            <w:tcW w:w="1" w:type="dxa"/>
            <w:vAlign w:val="top"/>
          </w:tcPr>
          <w:p>
            <w:pPr>
              <w:pStyle w:val="3"/>
            </w:pPr>
          </w:p>
        </w:tc>
        <w:tc>
          <w:tcPr>
            <w:tcW w:w="3400" w:type="dxa"/>
            <w:gridSpan w:val="4"/>
            <w:vAlign w:val="top"/>
          </w:tcPr>
          <w:p>
            <w:pPr>
              <w:pStyle w:val="3"/>
            </w:pPr>
          </w:p>
        </w:tc>
        <w:tc>
          <w:tcPr>
            <w:tcW w:w="200" w:type="dxa"/>
            <w:vAlign w:val="top"/>
          </w:tcPr>
          <w:p>
            <w:pPr>
              <w:pStyle w:val="3"/>
            </w:pPr>
          </w:p>
        </w:tc>
        <w:tc>
          <w:tcPr>
            <w:tcW w:w="7100" w:type="dxa"/>
            <w:gridSpan w:val="10"/>
            <w:vAlign w:val="top"/>
          </w:tcPr>
          <w:p>
            <w:pPr>
              <w:pStyle w:val="3"/>
            </w:pP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5"/>
            <w:tcMar>
              <w:top w:w="0" w:type="dxa"/>
              <w:left w:w="0" w:type="dxa"/>
              <w:bottom w:w="0" w:type="dxa"/>
              <w:right w:w="0" w:type="dxa"/>
            </w:tcMar>
            <w:vAlign w:val="top"/>
          </w:tcPr>
          <w:p>
            <w:r>
              <w:rPr>
                <w:color w:val="000000"/>
                <w:sz w:val="20"/>
              </w:rPr>
              <w:t>产品管理人：</w:t>
            </w:r>
            <w:r>
              <w:rPr>
                <w:rFonts w:hint="eastAsia" w:ascii="原版宋体" w:hAnsi="原版宋体" w:eastAsia="原版宋体" w:cs="原版宋体"/>
                <w:color w:val="000000"/>
                <w:sz w:val="20"/>
                <w:lang w:eastAsia="zh-CN"/>
              </w:rPr>
              <w:t>江苏张家港农村商业银行股份有限公司</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5"/>
            <w:tcMar>
              <w:top w:w="0" w:type="dxa"/>
              <w:left w:w="0" w:type="dxa"/>
              <w:bottom w:w="0" w:type="dxa"/>
              <w:right w:w="0" w:type="dxa"/>
            </w:tcMar>
            <w:vAlign w:val="top"/>
          </w:tcPr>
          <w:p>
            <w:r>
              <w:rPr>
                <w:color w:val="000000"/>
                <w:sz w:val="20"/>
              </w:rPr>
              <w:t>产品托管人：</w:t>
            </w:r>
            <w:r>
              <w:rPr>
                <w:rFonts w:hint="eastAsia"/>
                <w:color w:val="000000"/>
                <w:sz w:val="20"/>
                <w:lang w:eastAsia="zh-CN"/>
              </w:rPr>
              <w:t>招商银行股份有限公司</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5"/>
            <w:tcMar>
              <w:top w:w="0" w:type="dxa"/>
              <w:left w:w="0" w:type="dxa"/>
              <w:bottom w:w="0" w:type="dxa"/>
              <w:right w:w="0" w:type="dxa"/>
            </w:tcMar>
            <w:vAlign w:val="top"/>
          </w:tcPr>
          <w:p>
            <w:r>
              <w:rPr>
                <w:color w:val="000000"/>
                <w:sz w:val="20"/>
              </w:rPr>
              <w:t>发布时间：2020年03月31日</w:t>
            </w:r>
          </w:p>
        </w:tc>
        <w:tc>
          <w:tcPr>
            <w:tcW w:w="800" w:type="dxa"/>
            <w:gridSpan w:val="2"/>
            <w:vAlign w:val="top"/>
          </w:tcPr>
          <w:p>
            <w:pPr>
              <w:pStyle w:val="3"/>
            </w:pPr>
          </w:p>
        </w:tc>
      </w:tr>
      <w:tr>
        <w:trPr>
          <w:trHeight w:val="90" w:hRule="exact"/>
        </w:trPr>
        <w:tc>
          <w:tcPr>
            <w:tcW w:w="1" w:type="dxa"/>
            <w:vAlign w:val="top"/>
          </w:tcPr>
          <w:p>
            <w:pPr>
              <w:pStyle w:val="3"/>
            </w:pPr>
          </w:p>
        </w:tc>
        <w:tc>
          <w:tcPr>
            <w:tcW w:w="3400" w:type="dxa"/>
            <w:gridSpan w:val="4"/>
            <w:vAlign w:val="top"/>
          </w:tcPr>
          <w:p>
            <w:pPr>
              <w:pStyle w:val="3"/>
            </w:pPr>
          </w:p>
        </w:tc>
        <w:tc>
          <w:tcPr>
            <w:tcW w:w="200" w:type="dxa"/>
            <w:vAlign w:val="top"/>
          </w:tcPr>
          <w:p>
            <w:pPr>
              <w:pStyle w:val="3"/>
            </w:pPr>
          </w:p>
        </w:tc>
        <w:tc>
          <w:tcPr>
            <w:tcW w:w="7100" w:type="dxa"/>
            <w:gridSpan w:val="10"/>
            <w:vAlign w:val="top"/>
          </w:tcPr>
          <w:p>
            <w:pPr>
              <w:pStyle w:val="3"/>
            </w:pPr>
          </w:p>
        </w:tc>
        <w:tc>
          <w:tcPr>
            <w:tcW w:w="800" w:type="dxa"/>
            <w:gridSpan w:val="2"/>
            <w:vAlign w:val="top"/>
          </w:tcPr>
          <w:p>
            <w:pPr>
              <w:pStyle w:val="3"/>
            </w:pPr>
          </w:p>
        </w:tc>
      </w:tr>
      <w:tr>
        <w:trPr>
          <w:trHeight w:val="365" w:hRule="exact"/>
        </w:trPr>
        <w:tc>
          <w:tcPr>
            <w:tcW w:w="1" w:type="dxa"/>
            <w:vAlign w:val="top"/>
          </w:tcPr>
          <w:p>
            <w:pPr>
              <w:pStyle w:val="3"/>
            </w:pPr>
          </w:p>
        </w:tc>
        <w:tc>
          <w:tcPr>
            <w:tcW w:w="10700" w:type="dxa"/>
            <w:gridSpan w:val="15"/>
            <w:tcMar>
              <w:top w:w="0" w:type="dxa"/>
              <w:left w:w="0" w:type="dxa"/>
              <w:bottom w:w="0" w:type="dxa"/>
              <w:right w:w="0" w:type="dxa"/>
            </w:tcMar>
            <w:vAlign w:val="top"/>
          </w:tcPr>
          <w:p>
            <w:r>
              <w:rPr>
                <w:b/>
                <w:color w:val="000000"/>
                <w:sz w:val="20"/>
              </w:rPr>
              <w:t>1  重要提示</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5"/>
            <w:tcMar>
              <w:top w:w="0" w:type="dxa"/>
              <w:left w:w="0" w:type="dxa"/>
              <w:bottom w:w="0" w:type="dxa"/>
              <w:right w:w="0" w:type="dxa"/>
            </w:tcMar>
            <w:vAlign w:val="top"/>
          </w:tcPr>
          <w:p>
            <w:r>
              <w:rPr>
                <w:color w:val="000000"/>
                <w:sz w:val="20"/>
              </w:rPr>
              <w:t xml:space="preserve">    产品的过往业绩并不代表其未来表现。投资有风险，投资者在作出投资决策前应仔细阅读本产品说明书。</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5"/>
            <w:tcMar>
              <w:top w:w="0" w:type="dxa"/>
              <w:left w:w="0" w:type="dxa"/>
              <w:bottom w:w="0" w:type="dxa"/>
              <w:right w:w="0" w:type="dxa"/>
            </w:tcMar>
            <w:vAlign w:val="top"/>
          </w:tcPr>
          <w:p>
            <w:r>
              <w:rPr>
                <w:color w:val="000000"/>
                <w:sz w:val="20"/>
              </w:rPr>
              <w:t xml:space="preserve">    本报告中财务资料未经审计。</w:t>
            </w:r>
          </w:p>
        </w:tc>
        <w:tc>
          <w:tcPr>
            <w:tcW w:w="800" w:type="dxa"/>
            <w:gridSpan w:val="2"/>
            <w:vAlign w:val="top"/>
          </w:tcPr>
          <w:p>
            <w:pPr>
              <w:pStyle w:val="3"/>
            </w:pPr>
          </w:p>
        </w:tc>
      </w:tr>
      <w:tr>
        <w:trPr>
          <w:trHeight w:val="460" w:hRule="exact"/>
        </w:trPr>
        <w:tc>
          <w:tcPr>
            <w:tcW w:w="1" w:type="dxa"/>
            <w:vAlign w:val="top"/>
          </w:tcPr>
          <w:p>
            <w:pPr>
              <w:pStyle w:val="3"/>
            </w:pPr>
          </w:p>
        </w:tc>
        <w:tc>
          <w:tcPr>
            <w:tcW w:w="10700" w:type="dxa"/>
            <w:gridSpan w:val="15"/>
            <w:tcMar>
              <w:top w:w="0" w:type="dxa"/>
              <w:left w:w="0" w:type="dxa"/>
              <w:bottom w:w="0" w:type="dxa"/>
              <w:right w:w="0" w:type="dxa"/>
            </w:tcMar>
            <w:vAlign w:val="top"/>
          </w:tcPr>
          <w:p>
            <w:r>
              <w:rPr>
                <w:color w:val="000000"/>
                <w:sz w:val="20"/>
              </w:rPr>
              <w:t xml:space="preserve">    本报告期自2020年01月01日起至03月31日止。</w:t>
            </w:r>
          </w:p>
        </w:tc>
        <w:tc>
          <w:tcPr>
            <w:tcW w:w="800" w:type="dxa"/>
            <w:gridSpan w:val="2"/>
            <w:vAlign w:val="top"/>
          </w:tcPr>
          <w:p>
            <w:pPr>
              <w:pStyle w:val="3"/>
            </w:pPr>
          </w:p>
        </w:tc>
      </w:tr>
      <w:tr>
        <w:trPr>
          <w:trHeight w:val="90" w:hRule="exact"/>
        </w:trPr>
        <w:tc>
          <w:tcPr>
            <w:tcW w:w="1" w:type="dxa"/>
            <w:vAlign w:val="top"/>
          </w:tcPr>
          <w:p>
            <w:pPr>
              <w:pStyle w:val="3"/>
            </w:pPr>
          </w:p>
        </w:tc>
        <w:tc>
          <w:tcPr>
            <w:tcW w:w="3400" w:type="dxa"/>
            <w:gridSpan w:val="4"/>
            <w:vAlign w:val="top"/>
          </w:tcPr>
          <w:p>
            <w:pPr>
              <w:pStyle w:val="3"/>
            </w:pPr>
          </w:p>
        </w:tc>
        <w:tc>
          <w:tcPr>
            <w:tcW w:w="200" w:type="dxa"/>
            <w:vAlign w:val="top"/>
          </w:tcPr>
          <w:p>
            <w:pPr>
              <w:pStyle w:val="3"/>
            </w:pPr>
          </w:p>
        </w:tc>
        <w:tc>
          <w:tcPr>
            <w:tcW w:w="7100" w:type="dxa"/>
            <w:gridSpan w:val="10"/>
            <w:vAlign w:val="top"/>
          </w:tcPr>
          <w:p>
            <w:pPr>
              <w:pStyle w:val="3"/>
            </w:pPr>
          </w:p>
        </w:tc>
        <w:tc>
          <w:tcPr>
            <w:tcW w:w="800" w:type="dxa"/>
            <w:gridSpan w:val="2"/>
            <w:vAlign w:val="top"/>
          </w:tcPr>
          <w:p>
            <w:pPr>
              <w:pStyle w:val="3"/>
            </w:pPr>
          </w:p>
        </w:tc>
      </w:tr>
      <w:tr>
        <w:trPr>
          <w:trHeight w:val="500" w:hRule="exact"/>
        </w:trPr>
        <w:tc>
          <w:tcPr>
            <w:tcW w:w="1" w:type="dxa"/>
            <w:vAlign w:val="top"/>
          </w:tcPr>
          <w:p>
            <w:pPr>
              <w:pStyle w:val="3"/>
            </w:pPr>
          </w:p>
        </w:tc>
        <w:tc>
          <w:tcPr>
            <w:tcW w:w="10700" w:type="dxa"/>
            <w:gridSpan w:val="15"/>
            <w:tcMar>
              <w:top w:w="0" w:type="dxa"/>
              <w:left w:w="0" w:type="dxa"/>
              <w:bottom w:w="0" w:type="dxa"/>
              <w:right w:w="0" w:type="dxa"/>
            </w:tcMar>
            <w:vAlign w:val="center"/>
          </w:tcPr>
          <w:p>
            <w:pPr>
              <w:spacing w:before="0" w:after="0" w:line="360" w:lineRule="auto"/>
            </w:pPr>
            <w:r>
              <w:rPr>
                <w:b/>
                <w:color w:val="000000"/>
                <w:sz w:val="20"/>
              </w:rPr>
              <w:t>2  产品概况</w:t>
            </w:r>
          </w:p>
        </w:tc>
        <w:tc>
          <w:tcPr>
            <w:tcW w:w="800" w:type="dxa"/>
            <w:gridSpan w:val="2"/>
            <w:vAlign w:val="top"/>
          </w:tcPr>
          <w:p>
            <w:pPr>
              <w:pStyle w:val="3"/>
            </w:pPr>
          </w:p>
        </w:tc>
      </w:tr>
      <w:tr>
        <w:trPr>
          <w:trHeight w:val="800" w:hRule="exact"/>
        </w:trPr>
        <w:tc>
          <w:tcPr>
            <w:tcW w:w="1" w:type="dxa"/>
            <w:vAlign w:val="top"/>
          </w:tcPr>
          <w:p>
            <w:pPr>
              <w:pStyle w:val="3"/>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产品名称</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color w:val="000000"/>
                <w:sz w:val="20"/>
                <w:lang w:eastAsia="zh-CN"/>
              </w:rPr>
              <w:t>金港湾</w:t>
            </w:r>
            <w:r>
              <w:rPr>
                <w:color w:val="000000"/>
                <w:sz w:val="20"/>
              </w:rPr>
              <w:t>悠享周开1号</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产品编码</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YX07D001</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全国银行业理财信息登记系统编码</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C1115619000092</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产品运作方式</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开放式净值型</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产品类型</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固定收益类</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募集方式</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公募</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报告期末产品份额总额</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348,205,574.68</w:t>
            </w:r>
          </w:p>
        </w:tc>
        <w:tc>
          <w:tcPr>
            <w:tcW w:w="800" w:type="dxa"/>
            <w:gridSpan w:val="2"/>
            <w:vAlign w:val="top"/>
          </w:tcPr>
          <w:p>
            <w:pPr>
              <w:pStyle w:val="3"/>
            </w:pPr>
          </w:p>
        </w:tc>
      </w:tr>
      <w:tr>
        <w:trPr>
          <w:trHeight w:val="500" w:hRule="exact"/>
        </w:trPr>
        <w:tc>
          <w:tcPr>
            <w:tcW w:w="1" w:type="dxa"/>
            <w:vAlign w:val="top"/>
          </w:tcPr>
          <w:p>
            <w:pPr>
              <w:pStyle w:val="3"/>
            </w:pPr>
          </w:p>
        </w:tc>
        <w:tc>
          <w:tcPr>
            <w:tcW w:w="10700" w:type="dxa"/>
            <w:gridSpan w:val="15"/>
            <w:tcMar>
              <w:top w:w="0" w:type="dxa"/>
              <w:left w:w="0" w:type="dxa"/>
              <w:bottom w:w="0" w:type="dxa"/>
              <w:right w:w="0" w:type="dxa"/>
            </w:tcMar>
            <w:vAlign w:val="center"/>
          </w:tcPr>
          <w:p>
            <w:pPr>
              <w:spacing w:before="0" w:after="0" w:line="360" w:lineRule="auto"/>
            </w:pPr>
            <w:r>
              <w:rPr>
                <w:rFonts w:hint="eastAsia"/>
                <w:b/>
                <w:color w:val="000000"/>
                <w:sz w:val="20"/>
                <w:lang w:val="en-US" w:eastAsia="zh-CN"/>
              </w:rPr>
              <w:t>3</w:t>
            </w:r>
            <w:r>
              <w:rPr>
                <w:b/>
                <w:color w:val="000000"/>
                <w:sz w:val="20"/>
              </w:rPr>
              <w:t xml:space="preserve">  投资组合报告</w:t>
            </w: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10700" w:type="dxa"/>
            <w:gridSpan w:val="15"/>
            <w:tcMar>
              <w:top w:w="0" w:type="dxa"/>
              <w:left w:w="0" w:type="dxa"/>
              <w:bottom w:w="0" w:type="dxa"/>
              <w:right w:w="0" w:type="dxa"/>
            </w:tcMar>
            <w:vAlign w:val="center"/>
          </w:tcPr>
          <w:p>
            <w:pPr>
              <w:spacing w:before="0" w:after="0" w:line="360" w:lineRule="auto"/>
            </w:pPr>
            <w:r>
              <w:rPr>
                <w:rFonts w:hint="eastAsia"/>
                <w:color w:val="000000"/>
                <w:sz w:val="20"/>
                <w:lang w:val="en-US" w:eastAsia="zh-CN"/>
              </w:rPr>
              <w:t>3</w:t>
            </w:r>
            <w:r>
              <w:rPr>
                <w:color w:val="000000"/>
                <w:sz w:val="20"/>
              </w:rPr>
              <w:t>.1 报告期末产品资产组合情况</w:t>
            </w: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项目</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金额（元）</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占资产</w:t>
            </w:r>
            <w:r>
              <w:rPr>
                <w:rFonts w:hint="eastAsia"/>
                <w:b/>
                <w:color w:val="000000"/>
                <w:sz w:val="20"/>
                <w:lang w:eastAsia="zh-CN"/>
              </w:rPr>
              <w:t>组合</w:t>
            </w:r>
            <w:r>
              <w:rPr>
                <w:b/>
                <w:color w:val="000000"/>
                <w:sz w:val="20"/>
              </w:rPr>
              <w:t>比例（%）</w:t>
            </w: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固定收益投资</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color w:val="000000"/>
                <w:sz w:val="20"/>
              </w:rPr>
            </w:pPr>
            <w:r>
              <w:rPr>
                <w:rFonts w:hint="default"/>
                <w:color w:val="000000"/>
                <w:sz w:val="20"/>
                <w:lang w:eastAsia="zh-CN"/>
              </w:rPr>
              <w:t xml:space="preserve"> 483,872,548.78 </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color w:val="000000"/>
                <w:sz w:val="20"/>
              </w:rPr>
            </w:pPr>
            <w:r>
              <w:rPr>
                <w:rFonts w:hint="default"/>
                <w:color w:val="000000"/>
                <w:sz w:val="20"/>
                <w:lang w:eastAsia="zh-CN"/>
              </w:rPr>
              <w:t>97.05%</w:t>
            </w: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autoSpaceDN w:val="0"/>
              <w:jc w:val="left"/>
              <w:textAlignment w:val="center"/>
            </w:pPr>
            <w:r>
              <w:rPr>
                <w:rFonts w:hint="default" w:ascii="宋体" w:hAnsi="宋体" w:eastAsia="宋体"/>
                <w:b w:val="0"/>
                <w:i w:val="0"/>
                <w:color w:val="000000"/>
                <w:sz w:val="20"/>
                <w:u w:val="none"/>
                <w:lang w:eastAsia="zh-CN"/>
              </w:rPr>
              <w:t>其中：银行间/交易所产品</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color w:val="000000"/>
                <w:sz w:val="20"/>
              </w:rPr>
            </w:pPr>
            <w:r>
              <w:rPr>
                <w:rFonts w:hint="default"/>
                <w:color w:val="000000"/>
                <w:sz w:val="20"/>
                <w:lang w:eastAsia="zh-CN"/>
              </w:rPr>
              <w:t xml:space="preserve"> 483,872,548.78 </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color w:val="000000"/>
                <w:sz w:val="20"/>
              </w:rPr>
            </w:pPr>
            <w:r>
              <w:rPr>
                <w:rFonts w:hint="default"/>
                <w:color w:val="000000"/>
                <w:sz w:val="20"/>
                <w:lang w:eastAsia="zh-CN"/>
              </w:rPr>
              <w:t>97.05%</w:t>
            </w: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autoSpaceDN w:val="0"/>
              <w:jc w:val="left"/>
              <w:textAlignment w:val="center"/>
            </w:pPr>
            <w:r>
              <w:rPr>
                <w:rFonts w:hint="default" w:ascii="宋体" w:hAnsi="宋体" w:eastAsia="宋体"/>
                <w:b w:val="0"/>
                <w:i w:val="0"/>
                <w:color w:val="000000"/>
                <w:sz w:val="20"/>
                <w:u w:val="none"/>
                <w:lang w:eastAsia="zh-CN"/>
              </w:rPr>
              <w:t xml:space="preserve">      其中：回购</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autoSpaceDN w:val="0"/>
              <w:jc w:val="right"/>
              <w:textAlignment w:val="center"/>
            </w:pPr>
            <w:r>
              <w:rPr>
                <w:rFonts w:hint="default" w:ascii="Times New Roman" w:hAnsi="宋体"/>
                <w:b w:val="0"/>
                <w:i w:val="0"/>
                <w:color w:val="000000"/>
                <w:sz w:val="20"/>
                <w:u w:val="none"/>
              </w:rPr>
              <w:t>43,748,608.70</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color w:val="000000"/>
                <w:sz w:val="20"/>
              </w:rPr>
            </w:pPr>
            <w:r>
              <w:rPr>
                <w:rFonts w:hint="default"/>
                <w:color w:val="000000"/>
                <w:sz w:val="20"/>
                <w:lang w:eastAsia="zh-CN"/>
              </w:rPr>
              <w:t>8.77%</w:t>
            </w: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autoSpaceDN w:val="0"/>
              <w:jc w:val="left"/>
              <w:textAlignment w:val="center"/>
            </w:pPr>
            <w:r>
              <w:rPr>
                <w:rFonts w:hint="default" w:ascii="宋体" w:hAnsi="宋体" w:eastAsia="宋体"/>
                <w:b w:val="0"/>
                <w:i w:val="0"/>
                <w:color w:val="000000"/>
                <w:sz w:val="21"/>
                <w:u w:val="none"/>
                <w:lang w:eastAsia="zh-CN"/>
              </w:rPr>
              <w:t xml:space="preserve">    非银行间</w:t>
            </w:r>
            <w:r>
              <w:rPr>
                <w:rFonts w:hint="default" w:ascii="Calibri" w:hAnsi="宋体"/>
                <w:b w:val="0"/>
                <w:i w:val="0"/>
                <w:color w:val="000000"/>
                <w:sz w:val="21"/>
                <w:u w:val="none"/>
              </w:rPr>
              <w:t>/</w:t>
            </w:r>
            <w:r>
              <w:rPr>
                <w:rFonts w:hint="default" w:ascii="宋体" w:hAnsi="宋体" w:eastAsia="宋体"/>
                <w:b w:val="0"/>
                <w:i w:val="0"/>
                <w:color w:val="000000"/>
                <w:sz w:val="21"/>
                <w:u w:val="none"/>
                <w:lang w:eastAsia="zh-CN"/>
              </w:rPr>
              <w:t>非交易所产品</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宋体"/>
                <w:lang w:eastAsia="zh-CN"/>
              </w:rPr>
            </w:pPr>
            <w:r>
              <w:rPr>
                <w:rFonts w:hint="eastAsia"/>
                <w:color w:val="000000"/>
                <w:sz w:val="20"/>
                <w:lang w:val="en-US" w:eastAsia="zh-CN"/>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银行存款合计</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color w:val="000000"/>
                <w:sz w:val="20"/>
              </w:rPr>
            </w:pPr>
            <w:r>
              <w:rPr>
                <w:rFonts w:hint="default"/>
                <w:color w:val="000000"/>
                <w:sz w:val="20"/>
                <w:lang w:eastAsia="zh-CN"/>
              </w:rPr>
              <w:t xml:space="preserve"> 14,722,489.11 </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color w:val="000000"/>
                <w:sz w:val="20"/>
              </w:rPr>
            </w:pPr>
            <w:r>
              <w:rPr>
                <w:color w:val="000000"/>
                <w:sz w:val="20"/>
              </w:rPr>
              <w:t>2.9</w:t>
            </w:r>
            <w:r>
              <w:rPr>
                <w:rFonts w:hint="eastAsia"/>
                <w:color w:val="000000"/>
                <w:sz w:val="20"/>
                <w:lang w:val="en-US" w:eastAsia="zh-CN"/>
              </w:rPr>
              <w:t>5</w:t>
            </w:r>
            <w:r>
              <w:rPr>
                <w:color w:val="000000"/>
                <w:sz w:val="20"/>
              </w:rPr>
              <w:t>%</w:t>
            </w: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宋体"/>
                <w:lang w:val="en-US" w:eastAsia="zh-CN"/>
              </w:rPr>
            </w:pPr>
            <w:r>
              <w:rPr>
                <w:rFonts w:hint="eastAsia"/>
                <w:color w:val="000000"/>
                <w:sz w:val="20"/>
                <w:lang w:val="en-US" w:eastAsia="zh-CN"/>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其他资产</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宋体"/>
                <w:lang w:eastAsia="zh-CN"/>
              </w:rPr>
            </w:pPr>
            <w:r>
              <w:rPr>
                <w:rFonts w:hint="eastAsia"/>
                <w:color w:val="000000"/>
                <w:sz w:val="20"/>
                <w:lang w:val="en-US" w:eastAsia="zh-CN"/>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合计</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498,595,037.89</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100.00%</w:t>
            </w:r>
          </w:p>
        </w:tc>
        <w:tc>
          <w:tcPr>
            <w:tcW w:w="20" w:type="dxa"/>
            <w:vAlign w:val="top"/>
          </w:tcPr>
          <w:p>
            <w:pPr>
              <w:pStyle w:val="3"/>
            </w:pPr>
          </w:p>
        </w:tc>
        <w:tc>
          <w:tcPr>
            <w:tcW w:w="780" w:type="dxa"/>
            <w:vAlign w:val="top"/>
          </w:tcPr>
          <w:p>
            <w:pPr>
              <w:pStyle w:val="3"/>
            </w:pPr>
          </w:p>
        </w:tc>
      </w:tr>
      <w:tr>
        <w:trPr>
          <w:trHeight w:val="345" w:hRule="exact"/>
        </w:trPr>
        <w:tc>
          <w:tcPr>
            <w:tcW w:w="1" w:type="dxa"/>
            <w:vAlign w:val="top"/>
          </w:tcPr>
          <w:p>
            <w:pPr>
              <w:pStyle w:val="3"/>
            </w:pPr>
          </w:p>
        </w:tc>
        <w:tc>
          <w:tcPr>
            <w:tcW w:w="800" w:type="dxa"/>
            <w:vAlign w:val="top"/>
          </w:tcPr>
          <w:p>
            <w:pPr>
              <w:pStyle w:val="3"/>
            </w:pPr>
          </w:p>
        </w:tc>
        <w:tc>
          <w:tcPr>
            <w:tcW w:w="2600" w:type="dxa"/>
            <w:gridSpan w:val="3"/>
            <w:vAlign w:val="top"/>
          </w:tcPr>
          <w:p>
            <w:pPr>
              <w:pStyle w:val="3"/>
            </w:pPr>
          </w:p>
        </w:tc>
        <w:tc>
          <w:tcPr>
            <w:tcW w:w="600" w:type="dxa"/>
            <w:gridSpan w:val="2"/>
            <w:vAlign w:val="top"/>
          </w:tcPr>
          <w:p>
            <w:pPr>
              <w:pStyle w:val="3"/>
            </w:pPr>
          </w:p>
        </w:tc>
        <w:tc>
          <w:tcPr>
            <w:tcW w:w="20" w:type="dxa"/>
            <w:vAlign w:val="top"/>
          </w:tcPr>
          <w:p>
            <w:pPr>
              <w:pStyle w:val="3"/>
            </w:pPr>
          </w:p>
        </w:tc>
        <w:tc>
          <w:tcPr>
            <w:tcW w:w="3380" w:type="dxa"/>
            <w:gridSpan w:val="4"/>
            <w:vAlign w:val="top"/>
          </w:tcPr>
          <w:p>
            <w:pPr>
              <w:pStyle w:val="3"/>
            </w:pPr>
          </w:p>
        </w:tc>
        <w:tc>
          <w:tcPr>
            <w:tcW w:w="220" w:type="dxa"/>
            <w:vAlign w:val="top"/>
          </w:tcPr>
          <w:p>
            <w:pPr>
              <w:pStyle w:val="3"/>
            </w:pPr>
          </w:p>
        </w:tc>
        <w:tc>
          <w:tcPr>
            <w:tcW w:w="3080" w:type="dxa"/>
            <w:gridSpan w:val="3"/>
            <w:vAlign w:val="top"/>
          </w:tcPr>
          <w:p>
            <w:pPr>
              <w:pStyle w:val="3"/>
            </w:pP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10700" w:type="dxa"/>
            <w:gridSpan w:val="15"/>
            <w:tcMar>
              <w:top w:w="0" w:type="dxa"/>
              <w:left w:w="0" w:type="dxa"/>
              <w:bottom w:w="0" w:type="dxa"/>
              <w:right w:w="0" w:type="dxa"/>
            </w:tcMar>
            <w:vAlign w:val="center"/>
          </w:tcPr>
          <w:p>
            <w:pPr>
              <w:spacing w:before="0" w:after="0" w:line="360" w:lineRule="auto"/>
            </w:pPr>
            <w:r>
              <w:rPr>
                <w:rFonts w:hint="eastAsia"/>
                <w:color w:val="000000"/>
                <w:sz w:val="20"/>
                <w:lang w:val="en-US" w:eastAsia="zh-CN"/>
              </w:rPr>
              <w:t>3</w:t>
            </w:r>
            <w:r>
              <w:rPr>
                <w:color w:val="000000"/>
                <w:sz w:val="20"/>
              </w:rPr>
              <w:t>.2 报告期末按债券品种分类的债券投资组合</w:t>
            </w: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债券品种</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金额（元）</w:t>
            </w:r>
          </w:p>
        </w:tc>
        <w:tc>
          <w:tcPr>
            <w:tcW w:w="31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占资产</w:t>
            </w:r>
            <w:r>
              <w:rPr>
                <w:rFonts w:hint="eastAsia"/>
                <w:b/>
                <w:color w:val="000000"/>
                <w:sz w:val="20"/>
                <w:lang w:eastAsia="zh-CN"/>
              </w:rPr>
              <w:t>组合</w:t>
            </w:r>
            <w:r>
              <w:rPr>
                <w:b/>
                <w:color w:val="000000"/>
                <w:sz w:val="20"/>
              </w:rPr>
              <w:t>比例（％）</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国家债券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31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央行票据</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31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金融债券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71,556,445.62</w:t>
            </w:r>
          </w:p>
        </w:tc>
        <w:tc>
          <w:tcPr>
            <w:tcW w:w="31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hint="eastAsia"/>
                <w:color w:val="000000"/>
                <w:sz w:val="20"/>
                <w:lang w:val="en-US" w:eastAsia="zh-CN"/>
              </w:rPr>
              <w:t>14.35</w:t>
            </w:r>
            <w:r>
              <w:rPr>
                <w:color w:val="000000"/>
                <w:sz w:val="20"/>
              </w:rPr>
              <w:t>%</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其中：政策性金融债</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31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企业债券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368,567,494.46</w:t>
            </w:r>
          </w:p>
        </w:tc>
        <w:tc>
          <w:tcPr>
            <w:tcW w:w="31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hint="eastAsia"/>
                <w:color w:val="000000"/>
                <w:sz w:val="20"/>
                <w:lang w:val="en-US" w:eastAsia="zh-CN"/>
              </w:rPr>
              <w:t>73.92</w:t>
            </w:r>
            <w:r>
              <w:rPr>
                <w:color w:val="000000"/>
                <w:sz w:val="20"/>
              </w:rPr>
              <w:t>%</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企业短期融资券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31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可转债</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31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其他</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31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0.00%</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合计</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440,123,940.08</w:t>
            </w:r>
          </w:p>
        </w:tc>
        <w:tc>
          <w:tcPr>
            <w:tcW w:w="31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hint="eastAsia"/>
                <w:color w:val="000000"/>
                <w:sz w:val="20"/>
                <w:lang w:val="en-US" w:eastAsia="zh-CN"/>
              </w:rPr>
              <w:t>88.27</w:t>
            </w:r>
            <w:r>
              <w:rPr>
                <w:color w:val="000000"/>
                <w:sz w:val="20"/>
              </w:rPr>
              <w:t>%</w:t>
            </w:r>
          </w:p>
        </w:tc>
        <w:tc>
          <w:tcPr>
            <w:tcW w:w="780" w:type="dxa"/>
            <w:vAlign w:val="top"/>
          </w:tcPr>
          <w:p>
            <w:pPr>
              <w:pStyle w:val="3"/>
            </w:pPr>
          </w:p>
        </w:tc>
      </w:tr>
      <w:tr>
        <w:trPr>
          <w:trHeight w:val="300" w:hRule="exact"/>
        </w:trPr>
        <w:tc>
          <w:tcPr>
            <w:tcW w:w="1" w:type="dxa"/>
            <w:vAlign w:val="top"/>
          </w:tcPr>
          <w:p>
            <w:pPr>
              <w:pStyle w:val="3"/>
            </w:pPr>
            <w:bookmarkStart w:id="1" w:name="JR_PAGE_ANCHOR_0_3"/>
            <w:bookmarkEnd w:id="1"/>
          </w:p>
        </w:tc>
        <w:tc>
          <w:tcPr>
            <w:tcW w:w="10600" w:type="dxa"/>
            <w:gridSpan w:val="14"/>
            <w:tcMar>
              <w:top w:w="0" w:type="dxa"/>
              <w:left w:w="0" w:type="dxa"/>
              <w:bottom w:w="0" w:type="dxa"/>
              <w:right w:w="0" w:type="dxa"/>
            </w:tcMar>
            <w:vAlign w:val="center"/>
          </w:tcPr>
          <w:p>
            <w:pPr>
              <w:spacing w:before="0" w:after="0" w:line="360" w:lineRule="auto"/>
              <w:rPr>
                <w:rFonts w:hint="eastAsia"/>
                <w:color w:val="000000"/>
                <w:sz w:val="20"/>
                <w:lang w:val="en-US" w:eastAsia="zh-CN"/>
              </w:rPr>
            </w:pPr>
          </w:p>
        </w:tc>
        <w:tc>
          <w:tcPr>
            <w:tcW w:w="100" w:type="dxa"/>
            <w:vAlign w:val="top"/>
          </w:tcPr>
          <w:p>
            <w:pPr>
              <w:pStyle w:val="3"/>
            </w:pPr>
          </w:p>
        </w:tc>
        <w:tc>
          <w:tcPr>
            <w:tcW w:w="800" w:type="dxa"/>
            <w:gridSpan w:val="2"/>
            <w:vAlign w:val="top"/>
          </w:tcPr>
          <w:p>
            <w:pPr>
              <w:pStyle w:val="3"/>
            </w:pPr>
          </w:p>
        </w:tc>
      </w:tr>
      <w:tr>
        <w:trPr>
          <w:trHeight w:val="300" w:hRule="exact"/>
        </w:trPr>
        <w:tc>
          <w:tcPr>
            <w:tcW w:w="1" w:type="dxa"/>
            <w:vAlign w:val="top"/>
          </w:tcPr>
          <w:p>
            <w:pPr>
              <w:pStyle w:val="3"/>
            </w:pPr>
          </w:p>
        </w:tc>
        <w:tc>
          <w:tcPr>
            <w:tcW w:w="10600" w:type="dxa"/>
            <w:gridSpan w:val="14"/>
            <w:tcMar>
              <w:top w:w="0" w:type="dxa"/>
              <w:left w:w="0" w:type="dxa"/>
              <w:bottom w:w="0" w:type="dxa"/>
              <w:right w:w="0" w:type="dxa"/>
            </w:tcMar>
            <w:vAlign w:val="center"/>
          </w:tcPr>
          <w:p>
            <w:pPr>
              <w:spacing w:before="0" w:after="0" w:line="360" w:lineRule="auto"/>
            </w:pPr>
            <w:r>
              <w:rPr>
                <w:rFonts w:hint="eastAsia"/>
                <w:color w:val="000000"/>
                <w:sz w:val="20"/>
                <w:lang w:val="en-US" w:eastAsia="zh-CN"/>
              </w:rPr>
              <w:t>3</w:t>
            </w:r>
            <w:r>
              <w:rPr>
                <w:color w:val="000000"/>
                <w:sz w:val="20"/>
              </w:rPr>
              <w:t>.3 报告期末按市值占产品资产净值比例大小排名的前十名资产投资明细</w:t>
            </w:r>
          </w:p>
        </w:tc>
        <w:tc>
          <w:tcPr>
            <w:tcW w:w="100" w:type="dxa"/>
            <w:vAlign w:val="top"/>
          </w:tcPr>
          <w:p>
            <w:pPr>
              <w:pStyle w:val="3"/>
            </w:pPr>
          </w:p>
        </w:tc>
        <w:tc>
          <w:tcPr>
            <w:tcW w:w="800" w:type="dxa"/>
            <w:gridSpan w:val="2"/>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序号</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资产代码</w:t>
            </w:r>
          </w:p>
        </w:tc>
        <w:tc>
          <w:tcPr>
            <w:tcW w:w="2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资产名称</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市值(元)</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b/>
                <w:color w:val="000000"/>
                <w:sz w:val="20"/>
              </w:rPr>
              <w:t>占产品资产净值比例（％）</w:t>
            </w:r>
          </w:p>
        </w:tc>
        <w:tc>
          <w:tcPr>
            <w:tcW w:w="100" w:type="dxa"/>
            <w:vAlign w:val="top"/>
          </w:tcPr>
          <w:p>
            <w:pPr>
              <w:pStyle w:val="3"/>
            </w:pPr>
          </w:p>
        </w:tc>
        <w:tc>
          <w:tcPr>
            <w:tcW w:w="800" w:type="dxa"/>
            <w:gridSpan w:val="2"/>
            <w:vAlign w:val="top"/>
          </w:tcPr>
          <w:p>
            <w:pPr>
              <w:pStyle w:val="3"/>
            </w:pPr>
          </w:p>
        </w:tc>
      </w:tr>
      <w:tr>
        <w:trPr>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color w:val="000000"/>
                <w:sz w:val="20"/>
              </w:rPr>
              <w:t xml:space="preserve"> 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color w:val="000000"/>
                <w:sz w:val="20"/>
                <w:lang w:val="en-US" w:eastAsia="zh-CN"/>
              </w:rPr>
              <w:t>-</w:t>
            </w:r>
            <w:r>
              <w:rPr>
                <w:color w:val="000000"/>
                <w:sz w:val="20"/>
              </w:rPr>
              <w:t xml:space="preserve">   </w:t>
            </w:r>
          </w:p>
        </w:tc>
        <w:tc>
          <w:tcPr>
            <w:tcW w:w="2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color w:val="000000"/>
                <w:sz w:val="20"/>
                <w:szCs w:val="22"/>
                <w:lang w:val="en-US" w:eastAsia="zh-CN"/>
              </w:rPr>
              <w:t>回购</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hint="eastAsia"/>
                <w:color w:val="000000"/>
                <w:sz w:val="20"/>
                <w:lang w:val="en-US" w:eastAsia="zh-CN"/>
              </w:rPr>
              <w:t>43,700,000.00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hint="default" w:ascii="Times New Roman" w:hAnsi="宋体"/>
                <w:b w:val="0"/>
                <w:i w:val="0"/>
                <w:color w:val="000000"/>
                <w:sz w:val="20"/>
                <w:u w:val="none"/>
              </w:rPr>
              <w:t>43,748,608.70</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hint="eastAsia"/>
                <w:color w:val="000000"/>
                <w:sz w:val="20"/>
                <w:lang w:val="en-US" w:eastAsia="zh-CN"/>
              </w:rPr>
              <w:t>12.56</w:t>
            </w:r>
            <w:r>
              <w:rPr>
                <w:color w:val="000000"/>
                <w:sz w:val="20"/>
              </w:rPr>
              <w:t>%</w:t>
            </w:r>
          </w:p>
        </w:tc>
        <w:tc>
          <w:tcPr>
            <w:tcW w:w="100" w:type="dxa"/>
            <w:vAlign w:val="top"/>
          </w:tcPr>
          <w:p>
            <w:pPr>
              <w:pStyle w:val="3"/>
            </w:pPr>
          </w:p>
        </w:tc>
        <w:tc>
          <w:tcPr>
            <w:tcW w:w="800" w:type="dxa"/>
            <w:gridSpan w:val="2"/>
            <w:vAlign w:val="top"/>
          </w:tcPr>
          <w:p>
            <w:pPr>
              <w:pStyle w:val="3"/>
            </w:pPr>
          </w:p>
        </w:tc>
      </w:tr>
      <w:tr>
        <w:trPr>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color w:val="000000"/>
                <w:sz w:val="20"/>
              </w:rPr>
              <w:t xml:space="preserve"> </w:t>
            </w:r>
            <w:r>
              <w:rPr>
                <w:rFonts w:hint="eastAsia"/>
                <w:color w:val="000000"/>
                <w:sz w:val="20"/>
                <w:lang w:val="en-US" w:eastAsia="zh-CN"/>
              </w:rPr>
              <w:t>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125821        </w:t>
            </w:r>
          </w:p>
        </w:tc>
        <w:tc>
          <w:tcPr>
            <w:tcW w:w="2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15华信01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35,200,000.00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36,672,340.29</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10.53%</w:t>
            </w:r>
          </w:p>
        </w:tc>
        <w:tc>
          <w:tcPr>
            <w:tcW w:w="100" w:type="dxa"/>
            <w:vAlign w:val="top"/>
          </w:tcPr>
          <w:p>
            <w:pPr>
              <w:pStyle w:val="3"/>
            </w:pPr>
          </w:p>
        </w:tc>
        <w:tc>
          <w:tcPr>
            <w:tcW w:w="800" w:type="dxa"/>
            <w:gridSpan w:val="2"/>
            <w:vAlign w:val="top"/>
          </w:tcPr>
          <w:p>
            <w:pPr>
              <w:pStyle w:val="3"/>
            </w:pPr>
          </w:p>
        </w:tc>
      </w:tr>
      <w:tr>
        <w:trPr>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color w:val="000000"/>
                <w:sz w:val="20"/>
              </w:rPr>
              <w:t xml:space="preserve"> </w:t>
            </w:r>
            <w:r>
              <w:rPr>
                <w:rFonts w:hint="eastAsia"/>
                <w:color w:val="000000"/>
                <w:sz w:val="20"/>
                <w:lang w:val="en-US" w:eastAsia="zh-CN"/>
              </w:rPr>
              <w:t>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151531        </w:t>
            </w:r>
          </w:p>
        </w:tc>
        <w:tc>
          <w:tcPr>
            <w:tcW w:w="2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19冀交02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31,834,789.55</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9.14%</w:t>
            </w:r>
          </w:p>
        </w:tc>
        <w:tc>
          <w:tcPr>
            <w:tcW w:w="100" w:type="dxa"/>
            <w:vAlign w:val="top"/>
          </w:tcPr>
          <w:p>
            <w:pPr>
              <w:pStyle w:val="3"/>
            </w:pPr>
          </w:p>
        </w:tc>
        <w:tc>
          <w:tcPr>
            <w:tcW w:w="800" w:type="dxa"/>
            <w:gridSpan w:val="2"/>
            <w:vAlign w:val="top"/>
          </w:tcPr>
          <w:p>
            <w:pPr>
              <w:pStyle w:val="3"/>
            </w:pPr>
          </w:p>
        </w:tc>
      </w:tr>
      <w:tr>
        <w:trPr>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color w:val="000000"/>
                <w:sz w:val="20"/>
              </w:rPr>
              <w:t xml:space="preserve"> </w:t>
            </w:r>
            <w:r>
              <w:rPr>
                <w:rFonts w:hint="eastAsia"/>
                <w:color w:val="000000"/>
                <w:sz w:val="20"/>
                <w:lang w:val="en-US" w:eastAsia="zh-CN"/>
              </w:rPr>
              <w:t>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101801568       </w:t>
            </w:r>
          </w:p>
        </w:tc>
        <w:tc>
          <w:tcPr>
            <w:tcW w:w="2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18大唐集MTN003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31,188,907.87</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8.96%</w:t>
            </w:r>
          </w:p>
        </w:tc>
        <w:tc>
          <w:tcPr>
            <w:tcW w:w="100" w:type="dxa"/>
            <w:vAlign w:val="top"/>
          </w:tcPr>
          <w:p>
            <w:pPr>
              <w:pStyle w:val="3"/>
            </w:pPr>
          </w:p>
        </w:tc>
        <w:tc>
          <w:tcPr>
            <w:tcW w:w="800" w:type="dxa"/>
            <w:gridSpan w:val="2"/>
            <w:vAlign w:val="top"/>
          </w:tcPr>
          <w:p>
            <w:pPr>
              <w:pStyle w:val="3"/>
            </w:pPr>
          </w:p>
        </w:tc>
      </w:tr>
      <w:tr>
        <w:trPr>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color w:val="000000"/>
                <w:sz w:val="20"/>
              </w:rPr>
              <w:t xml:space="preserve"> </w:t>
            </w:r>
            <w:r>
              <w:rPr>
                <w:rFonts w:hint="eastAsia"/>
                <w:color w:val="000000"/>
                <w:sz w:val="20"/>
                <w:lang w:val="en-US" w:eastAsia="zh-CN"/>
              </w:rPr>
              <w:t>5</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125847        </w:t>
            </w:r>
          </w:p>
        </w:tc>
        <w:tc>
          <w:tcPr>
            <w:tcW w:w="2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15云城投</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27,800,000.00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28,679,339.65</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8.24%</w:t>
            </w:r>
          </w:p>
        </w:tc>
        <w:tc>
          <w:tcPr>
            <w:tcW w:w="100" w:type="dxa"/>
            <w:vAlign w:val="top"/>
          </w:tcPr>
          <w:p>
            <w:pPr>
              <w:pStyle w:val="3"/>
            </w:pPr>
          </w:p>
        </w:tc>
        <w:tc>
          <w:tcPr>
            <w:tcW w:w="800" w:type="dxa"/>
            <w:gridSpan w:val="2"/>
            <w:vAlign w:val="top"/>
          </w:tcPr>
          <w:p>
            <w:pPr>
              <w:pStyle w:val="3"/>
            </w:pPr>
          </w:p>
        </w:tc>
      </w:tr>
      <w:tr>
        <w:trPr>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color w:val="000000"/>
                <w:sz w:val="20"/>
              </w:rPr>
              <w:t xml:space="preserve"> </w:t>
            </w:r>
            <w:r>
              <w:rPr>
                <w:rFonts w:hint="eastAsia"/>
                <w:color w:val="000000"/>
                <w:sz w:val="20"/>
                <w:lang w:val="en-US" w:eastAsia="zh-CN"/>
              </w:rPr>
              <w:t>6</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145640        </w:t>
            </w:r>
          </w:p>
        </w:tc>
        <w:tc>
          <w:tcPr>
            <w:tcW w:w="2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17江海C2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27,300,000.00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28,466,544.62</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8.17%</w:t>
            </w:r>
          </w:p>
        </w:tc>
        <w:tc>
          <w:tcPr>
            <w:tcW w:w="100" w:type="dxa"/>
            <w:vAlign w:val="top"/>
          </w:tcPr>
          <w:p>
            <w:pPr>
              <w:pStyle w:val="3"/>
            </w:pPr>
          </w:p>
        </w:tc>
        <w:tc>
          <w:tcPr>
            <w:tcW w:w="800" w:type="dxa"/>
            <w:gridSpan w:val="2"/>
            <w:vAlign w:val="top"/>
          </w:tcPr>
          <w:p>
            <w:pPr>
              <w:pStyle w:val="3"/>
            </w:pPr>
          </w:p>
        </w:tc>
      </w:tr>
      <w:tr>
        <w:trPr>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color w:val="000000"/>
                <w:sz w:val="20"/>
              </w:rPr>
              <w:t xml:space="preserve"> </w:t>
            </w:r>
            <w:r>
              <w:rPr>
                <w:rFonts w:hint="eastAsia"/>
                <w:color w:val="000000"/>
                <w:sz w:val="20"/>
                <w:lang w:val="en-US" w:eastAsia="zh-CN"/>
              </w:rPr>
              <w:t>7</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125762        </w:t>
            </w:r>
          </w:p>
        </w:tc>
        <w:tc>
          <w:tcPr>
            <w:tcW w:w="2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15天风次</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21,500,000.00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22,262,736.93</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6.39%</w:t>
            </w:r>
          </w:p>
        </w:tc>
        <w:tc>
          <w:tcPr>
            <w:tcW w:w="100" w:type="dxa"/>
            <w:vAlign w:val="top"/>
          </w:tcPr>
          <w:p>
            <w:pPr>
              <w:pStyle w:val="3"/>
            </w:pPr>
          </w:p>
        </w:tc>
        <w:tc>
          <w:tcPr>
            <w:tcW w:w="800" w:type="dxa"/>
            <w:gridSpan w:val="2"/>
            <w:vAlign w:val="top"/>
          </w:tcPr>
          <w:p>
            <w:pPr>
              <w:pStyle w:val="3"/>
            </w:pPr>
          </w:p>
        </w:tc>
      </w:tr>
      <w:tr>
        <w:trPr>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color w:val="000000"/>
                <w:sz w:val="20"/>
              </w:rPr>
              <w:t xml:space="preserve"> </w:t>
            </w:r>
            <w:r>
              <w:rPr>
                <w:rFonts w:hint="eastAsia"/>
                <w:color w:val="000000"/>
                <w:sz w:val="20"/>
                <w:lang w:val="en-US" w:eastAsia="zh-CN"/>
              </w:rPr>
              <w:t>8</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143571        </w:t>
            </w:r>
          </w:p>
        </w:tc>
        <w:tc>
          <w:tcPr>
            <w:tcW w:w="2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18南水01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21,393,908.77</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6.14%</w:t>
            </w:r>
          </w:p>
        </w:tc>
        <w:tc>
          <w:tcPr>
            <w:tcW w:w="100" w:type="dxa"/>
            <w:vAlign w:val="top"/>
          </w:tcPr>
          <w:p>
            <w:pPr>
              <w:pStyle w:val="3"/>
            </w:pPr>
          </w:p>
        </w:tc>
        <w:tc>
          <w:tcPr>
            <w:tcW w:w="800" w:type="dxa"/>
            <w:gridSpan w:val="2"/>
            <w:vAlign w:val="top"/>
          </w:tcPr>
          <w:p>
            <w:pPr>
              <w:pStyle w:val="3"/>
            </w:pPr>
          </w:p>
        </w:tc>
      </w:tr>
      <w:tr>
        <w:trPr>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color w:val="000000"/>
                <w:sz w:val="20"/>
              </w:rPr>
              <w:t xml:space="preserve"> </w:t>
            </w:r>
            <w:r>
              <w:rPr>
                <w:rFonts w:hint="eastAsia"/>
                <w:color w:val="000000"/>
                <w:sz w:val="20"/>
                <w:lang w:val="en-US" w:eastAsia="zh-CN"/>
              </w:rPr>
              <w:t>9</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112559        </w:t>
            </w:r>
          </w:p>
        </w:tc>
        <w:tc>
          <w:tcPr>
            <w:tcW w:w="2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17恒通债</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20,864,684.11</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5.99%</w:t>
            </w:r>
          </w:p>
        </w:tc>
        <w:tc>
          <w:tcPr>
            <w:tcW w:w="100" w:type="dxa"/>
            <w:vAlign w:val="top"/>
          </w:tcPr>
          <w:p>
            <w:pPr>
              <w:pStyle w:val="3"/>
            </w:pPr>
          </w:p>
        </w:tc>
        <w:tc>
          <w:tcPr>
            <w:tcW w:w="800" w:type="dxa"/>
            <w:gridSpan w:val="2"/>
            <w:vAlign w:val="top"/>
          </w:tcPr>
          <w:p>
            <w:pPr>
              <w:pStyle w:val="3"/>
            </w:pPr>
          </w:p>
        </w:tc>
      </w:tr>
      <w:tr>
        <w:trPr>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color w:val="000000"/>
                <w:sz w:val="20"/>
              </w:rPr>
              <w:t xml:space="preserve"> </w:t>
            </w:r>
            <w:r>
              <w:rPr>
                <w:rFonts w:hint="eastAsia"/>
                <w:color w:val="000000"/>
                <w:sz w:val="20"/>
                <w:lang w:val="en-US" w:eastAsia="zh-CN"/>
              </w:rPr>
              <w:t>10</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 xml:space="preserve">031771027       </w:t>
            </w:r>
          </w:p>
        </w:tc>
        <w:tc>
          <w:tcPr>
            <w:tcW w:w="2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color w:val="000000"/>
                <w:sz w:val="20"/>
              </w:rPr>
              <w:t>17滨湖建设PPN002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color w:val="000000"/>
                <w:sz w:val="20"/>
              </w:rPr>
              <w:t>20,836,844.81</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color w:val="000000"/>
                <w:sz w:val="20"/>
              </w:rPr>
              <w:t>5.98%</w:t>
            </w:r>
          </w:p>
        </w:tc>
        <w:tc>
          <w:tcPr>
            <w:tcW w:w="100" w:type="dxa"/>
            <w:vAlign w:val="top"/>
          </w:tcPr>
          <w:p>
            <w:pPr>
              <w:pStyle w:val="3"/>
            </w:pPr>
          </w:p>
        </w:tc>
        <w:tc>
          <w:tcPr>
            <w:tcW w:w="800" w:type="dxa"/>
            <w:gridSpan w:val="2"/>
            <w:vAlign w:val="top"/>
          </w:tcPr>
          <w:p>
            <w:pPr>
              <w:pStyle w:val="3"/>
            </w:pPr>
          </w:p>
        </w:tc>
      </w:tr>
      <w:tr>
        <w:trPr>
          <w:trHeight w:val="78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400" w:type="dxa"/>
            <w:vAlign w:val="top"/>
          </w:tcPr>
          <w:p>
            <w:pPr>
              <w:pStyle w:val="3"/>
            </w:pPr>
          </w:p>
        </w:tc>
        <w:tc>
          <w:tcPr>
            <w:tcW w:w="1800" w:type="dxa"/>
            <w:gridSpan w:val="5"/>
            <w:vAlign w:val="top"/>
          </w:tcPr>
          <w:p>
            <w:pPr>
              <w:pStyle w:val="3"/>
            </w:pPr>
          </w:p>
        </w:tc>
        <w:tc>
          <w:tcPr>
            <w:tcW w:w="1600" w:type="dxa"/>
            <w:vAlign w:val="top"/>
          </w:tcPr>
          <w:p>
            <w:pPr>
              <w:pStyle w:val="3"/>
            </w:pPr>
          </w:p>
        </w:tc>
        <w:tc>
          <w:tcPr>
            <w:tcW w:w="400" w:type="dxa"/>
            <w:vAlign w:val="top"/>
          </w:tcPr>
          <w:p>
            <w:pPr>
              <w:pStyle w:val="3"/>
            </w:pPr>
          </w:p>
        </w:tc>
        <w:tc>
          <w:tcPr>
            <w:tcW w:w="2000" w:type="dxa"/>
            <w:gridSpan w:val="3"/>
            <w:vAlign w:val="top"/>
          </w:tcPr>
          <w:p>
            <w:pPr>
              <w:pStyle w:val="3"/>
            </w:pPr>
          </w:p>
        </w:tc>
        <w:tc>
          <w:tcPr>
            <w:tcW w:w="1600" w:type="dxa"/>
            <w:vAlign w:val="top"/>
          </w:tcPr>
          <w:p>
            <w:pPr>
              <w:pStyle w:val="3"/>
            </w:pPr>
          </w:p>
        </w:tc>
        <w:tc>
          <w:tcPr>
            <w:tcW w:w="100" w:type="dxa"/>
            <w:vAlign w:val="top"/>
          </w:tcPr>
          <w:p>
            <w:pPr>
              <w:pStyle w:val="3"/>
            </w:pP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5"/>
            <w:tcMar>
              <w:top w:w="0" w:type="dxa"/>
              <w:left w:w="0" w:type="dxa"/>
              <w:bottom w:w="0" w:type="dxa"/>
              <w:right w:w="0" w:type="dxa"/>
            </w:tcMar>
            <w:vAlign w:val="center"/>
          </w:tcPr>
          <w:p>
            <w:pPr>
              <w:spacing w:before="0" w:after="0" w:line="360" w:lineRule="auto"/>
            </w:pPr>
            <w:r>
              <w:rPr>
                <w:rFonts w:hint="eastAsia"/>
                <w:color w:val="000000"/>
                <w:sz w:val="20"/>
                <w:lang w:val="en-US" w:eastAsia="zh-CN"/>
              </w:rPr>
              <w:t>3</w:t>
            </w:r>
            <w:r>
              <w:rPr>
                <w:color w:val="000000"/>
                <w:sz w:val="20"/>
              </w:rPr>
              <w:t>.4 报告期末</w:t>
            </w:r>
            <w:r>
              <w:rPr>
                <w:rFonts w:hint="eastAsia"/>
                <w:color w:val="000000"/>
                <w:sz w:val="20"/>
                <w:lang w:eastAsia="zh-CN"/>
              </w:rPr>
              <w:t>资产</w:t>
            </w:r>
            <w:r>
              <w:rPr>
                <w:color w:val="000000"/>
                <w:sz w:val="20"/>
              </w:rPr>
              <w:t>组合流动性风险分析</w:t>
            </w:r>
          </w:p>
        </w:tc>
        <w:tc>
          <w:tcPr>
            <w:tcW w:w="800" w:type="dxa"/>
            <w:gridSpan w:val="2"/>
            <w:vAlign w:val="top"/>
          </w:tcPr>
          <w:p>
            <w:pPr>
              <w:pStyle w:val="3"/>
            </w:pPr>
          </w:p>
        </w:tc>
      </w:tr>
      <w:tr>
        <w:trPr>
          <w:trHeight w:val="400" w:hRule="exact"/>
        </w:trPr>
        <w:tc>
          <w:tcPr>
            <w:tcW w:w="1" w:type="dxa"/>
            <w:vAlign w:val="top"/>
          </w:tcPr>
          <w:p>
            <w:pPr>
              <w:pStyle w:val="3"/>
            </w:pPr>
          </w:p>
        </w:tc>
        <w:tc>
          <w:tcPr>
            <w:tcW w:w="32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流动性资产市值（元）</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产品资产净值（元）</w:t>
            </w:r>
          </w:p>
        </w:tc>
        <w:tc>
          <w:tcPr>
            <w:tcW w:w="41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b/>
                <w:color w:val="000000"/>
                <w:sz w:val="20"/>
              </w:rPr>
              <w:t>流动性资产占比（%）</w:t>
            </w:r>
          </w:p>
        </w:tc>
        <w:tc>
          <w:tcPr>
            <w:tcW w:w="800" w:type="dxa"/>
            <w:gridSpan w:val="2"/>
            <w:vAlign w:val="top"/>
          </w:tcPr>
          <w:p>
            <w:pPr>
              <w:pStyle w:val="3"/>
            </w:pPr>
          </w:p>
        </w:tc>
      </w:tr>
      <w:tr>
        <w:trPr>
          <w:trHeight w:val="400" w:hRule="exact"/>
        </w:trPr>
        <w:tc>
          <w:tcPr>
            <w:tcW w:w="1" w:type="dxa"/>
            <w:vAlign w:val="top"/>
          </w:tcPr>
          <w:p>
            <w:pPr>
              <w:pStyle w:val="3"/>
            </w:pPr>
          </w:p>
        </w:tc>
        <w:tc>
          <w:tcPr>
            <w:tcW w:w="32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hint="default"/>
                <w:color w:val="000000"/>
                <w:sz w:val="20"/>
                <w:lang w:eastAsia="zh-CN"/>
              </w:rPr>
              <w:t xml:space="preserve"> 14,722,489.11</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color w:val="000000"/>
                <w:sz w:val="20"/>
              </w:rPr>
              <w:t>348,247,651.25</w:t>
            </w:r>
          </w:p>
        </w:tc>
        <w:tc>
          <w:tcPr>
            <w:tcW w:w="41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color w:val="000000"/>
                <w:sz w:val="20"/>
              </w:rPr>
              <w:t>4.23%</w:t>
            </w:r>
          </w:p>
        </w:tc>
        <w:tc>
          <w:tcPr>
            <w:tcW w:w="800" w:type="dxa"/>
            <w:gridSpan w:val="2"/>
            <w:vAlign w:val="top"/>
          </w:tcPr>
          <w:p>
            <w:pPr>
              <w:pStyle w:val="3"/>
            </w:pPr>
          </w:p>
        </w:tc>
      </w:tr>
      <w:tr>
        <w:trPr>
          <w:trHeight w:val="74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400" w:type="dxa"/>
            <w:vAlign w:val="top"/>
          </w:tcPr>
          <w:p>
            <w:pPr>
              <w:pStyle w:val="3"/>
            </w:pPr>
          </w:p>
        </w:tc>
        <w:tc>
          <w:tcPr>
            <w:tcW w:w="1800" w:type="dxa"/>
            <w:gridSpan w:val="5"/>
            <w:vAlign w:val="top"/>
          </w:tcPr>
          <w:p>
            <w:pPr>
              <w:pStyle w:val="3"/>
            </w:pPr>
          </w:p>
        </w:tc>
        <w:tc>
          <w:tcPr>
            <w:tcW w:w="1600" w:type="dxa"/>
            <w:vAlign w:val="top"/>
          </w:tcPr>
          <w:p>
            <w:pPr>
              <w:pStyle w:val="3"/>
            </w:pPr>
          </w:p>
        </w:tc>
        <w:tc>
          <w:tcPr>
            <w:tcW w:w="400" w:type="dxa"/>
            <w:vAlign w:val="top"/>
          </w:tcPr>
          <w:p>
            <w:pPr>
              <w:pStyle w:val="3"/>
            </w:pPr>
          </w:p>
        </w:tc>
        <w:tc>
          <w:tcPr>
            <w:tcW w:w="2000" w:type="dxa"/>
            <w:gridSpan w:val="3"/>
            <w:vAlign w:val="top"/>
          </w:tcPr>
          <w:p>
            <w:pPr>
              <w:pStyle w:val="3"/>
            </w:pPr>
          </w:p>
        </w:tc>
        <w:tc>
          <w:tcPr>
            <w:tcW w:w="1600" w:type="dxa"/>
            <w:vAlign w:val="top"/>
          </w:tcPr>
          <w:p>
            <w:pPr>
              <w:pStyle w:val="3"/>
            </w:pPr>
          </w:p>
        </w:tc>
        <w:tc>
          <w:tcPr>
            <w:tcW w:w="100" w:type="dxa"/>
            <w:vAlign w:val="top"/>
          </w:tcPr>
          <w:p>
            <w:pPr>
              <w:pStyle w:val="3"/>
            </w:pPr>
          </w:p>
        </w:tc>
        <w:tc>
          <w:tcPr>
            <w:tcW w:w="800" w:type="dxa"/>
            <w:gridSpan w:val="2"/>
            <w:vAlign w:val="top"/>
          </w:tcPr>
          <w:p>
            <w:pPr>
              <w:pStyle w:val="3"/>
            </w:pPr>
          </w:p>
        </w:tc>
      </w:tr>
      <w:tr>
        <w:trPr>
          <w:trHeight w:val="1200" w:hRule="exact"/>
        </w:trPr>
        <w:tc>
          <w:tcPr>
            <w:tcW w:w="1" w:type="dxa"/>
            <w:vAlign w:val="top"/>
          </w:tcPr>
          <w:p>
            <w:pPr>
              <w:pStyle w:val="3"/>
            </w:pPr>
          </w:p>
        </w:tc>
        <w:tc>
          <w:tcPr>
            <w:tcW w:w="10700" w:type="dxa"/>
            <w:gridSpan w:val="15"/>
            <w:tcMar>
              <w:top w:w="0" w:type="dxa"/>
              <w:left w:w="0" w:type="dxa"/>
              <w:bottom w:w="0" w:type="dxa"/>
              <w:right w:w="0" w:type="dxa"/>
            </w:tcMar>
            <w:vAlign w:val="center"/>
          </w:tcPr>
          <w:p>
            <w:pPr>
              <w:spacing w:before="0" w:after="0" w:line="360" w:lineRule="auto"/>
            </w:pPr>
            <w:r>
              <w:rPr>
                <w:color w:val="000000"/>
                <w:sz w:val="20"/>
              </w:rPr>
              <w:t xml:space="preserve">   </w:t>
            </w:r>
            <w:r>
              <w:rPr>
                <w:rFonts w:hint="eastAsia"/>
                <w:color w:val="000000"/>
                <w:sz w:val="20"/>
              </w:rPr>
              <w:t>报告期内，产品管理人通过合理安排资产配置结构，保持一定比例的高流动性资产，控制资产久期、杠杆融资比例，管控产品流动性风险。持仓中利率债和中高等级信用债占比较高，对于关键时点的规模变动和资金面波动都有充足的准备，且融资渠道畅通多元，风险总体可控</w:t>
            </w:r>
            <w:r>
              <w:rPr>
                <w:rFonts w:hint="eastAsia"/>
                <w:color w:val="000000"/>
                <w:sz w:val="20"/>
                <w:lang w:eastAsia="zh-CN"/>
              </w:rPr>
              <w:t>。</w:t>
            </w:r>
            <w:bookmarkStart w:id="2" w:name="_GoBack"/>
            <w:bookmarkEnd w:id="2"/>
          </w:p>
        </w:tc>
        <w:tc>
          <w:tcPr>
            <w:tcW w:w="800" w:type="dxa"/>
            <w:gridSpan w:val="2"/>
            <w:vAlign w:val="top"/>
          </w:tcPr>
          <w:p>
            <w:pPr>
              <w:pStyle w:val="3"/>
            </w:pPr>
          </w:p>
        </w:tc>
      </w:tr>
      <w:tr>
        <w:trPr>
          <w:trHeight w:val="88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400" w:type="dxa"/>
            <w:vAlign w:val="top"/>
          </w:tcPr>
          <w:p>
            <w:pPr>
              <w:pStyle w:val="3"/>
            </w:pPr>
          </w:p>
        </w:tc>
        <w:tc>
          <w:tcPr>
            <w:tcW w:w="1800" w:type="dxa"/>
            <w:gridSpan w:val="5"/>
            <w:vAlign w:val="top"/>
          </w:tcPr>
          <w:p>
            <w:pPr>
              <w:pStyle w:val="3"/>
            </w:pPr>
          </w:p>
        </w:tc>
        <w:tc>
          <w:tcPr>
            <w:tcW w:w="1600" w:type="dxa"/>
            <w:vAlign w:val="top"/>
          </w:tcPr>
          <w:p>
            <w:pPr>
              <w:pStyle w:val="3"/>
            </w:pPr>
          </w:p>
        </w:tc>
        <w:tc>
          <w:tcPr>
            <w:tcW w:w="400" w:type="dxa"/>
            <w:vAlign w:val="top"/>
          </w:tcPr>
          <w:p>
            <w:pPr>
              <w:pStyle w:val="3"/>
            </w:pPr>
          </w:p>
        </w:tc>
        <w:tc>
          <w:tcPr>
            <w:tcW w:w="2000" w:type="dxa"/>
            <w:gridSpan w:val="3"/>
            <w:vAlign w:val="top"/>
          </w:tcPr>
          <w:p>
            <w:pPr>
              <w:pStyle w:val="3"/>
            </w:pPr>
          </w:p>
        </w:tc>
        <w:tc>
          <w:tcPr>
            <w:tcW w:w="1600" w:type="dxa"/>
            <w:vAlign w:val="top"/>
          </w:tcPr>
          <w:p>
            <w:pPr>
              <w:pStyle w:val="3"/>
            </w:pPr>
          </w:p>
        </w:tc>
        <w:tc>
          <w:tcPr>
            <w:tcW w:w="100" w:type="dxa"/>
            <w:vAlign w:val="top"/>
          </w:tcPr>
          <w:p>
            <w:pPr>
              <w:pStyle w:val="3"/>
            </w:pP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5"/>
            <w:tcMar>
              <w:top w:w="0" w:type="dxa"/>
              <w:left w:w="0" w:type="dxa"/>
              <w:bottom w:w="0" w:type="dxa"/>
              <w:right w:w="0" w:type="dxa"/>
            </w:tcMar>
            <w:vAlign w:val="top"/>
          </w:tcPr>
          <w:p>
            <w:pPr>
              <w:spacing w:before="0" w:after="0" w:line="360" w:lineRule="auto"/>
            </w:pPr>
            <w:r>
              <w:rPr>
                <w:color w:val="000000"/>
                <w:sz w:val="20"/>
              </w:rPr>
              <w:t xml:space="preserve"> </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5"/>
            <w:tcMar>
              <w:top w:w="0" w:type="dxa"/>
              <w:left w:w="0" w:type="dxa"/>
              <w:bottom w:w="0" w:type="dxa"/>
              <w:right w:w="0" w:type="dxa"/>
            </w:tcMar>
            <w:vAlign w:val="top"/>
          </w:tcPr>
          <w:p>
            <w:pPr>
              <w:spacing w:before="0" w:after="0" w:line="360" w:lineRule="auto"/>
              <w:jc w:val="right"/>
            </w:pPr>
            <w:r>
              <w:rPr>
                <w:rFonts w:hint="eastAsia" w:ascii="原版宋体" w:hAnsi="原版宋体" w:eastAsia="原版宋体" w:cs="原版宋体"/>
                <w:color w:val="000000"/>
                <w:sz w:val="20"/>
                <w:lang w:eastAsia="zh-CN"/>
              </w:rPr>
              <w:t>江苏张家港农村商业银行股份有限公司</w:t>
            </w:r>
            <w:r>
              <w:rPr>
                <w:color w:val="000000"/>
                <w:sz w:val="20"/>
              </w:rPr>
              <w:t xml:space="preserve">                  </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5"/>
            <w:tcMar>
              <w:top w:w="0" w:type="dxa"/>
              <w:left w:w="0" w:type="dxa"/>
              <w:bottom w:w="0" w:type="dxa"/>
              <w:right w:w="0" w:type="dxa"/>
            </w:tcMar>
            <w:vAlign w:val="top"/>
          </w:tcPr>
          <w:p>
            <w:pPr>
              <w:spacing w:before="0" w:after="0" w:line="360" w:lineRule="auto"/>
              <w:jc w:val="right"/>
            </w:pPr>
            <w:r>
              <w:rPr>
                <w:color w:val="000000"/>
                <w:sz w:val="20"/>
              </w:rPr>
              <w:t>2020年03月31日</w:t>
            </w:r>
          </w:p>
        </w:tc>
        <w:tc>
          <w:tcPr>
            <w:tcW w:w="800" w:type="dxa"/>
            <w:gridSpan w:val="2"/>
            <w:vAlign w:val="top"/>
          </w:tcPr>
          <w:p>
            <w:pPr>
              <w:pStyle w:val="3"/>
            </w:pPr>
          </w:p>
        </w:tc>
      </w:tr>
    </w:tbl>
    <w:p/>
    <w:sectPr>
      <w:pgSz w:w="13900" w:h="16840"/>
      <w:pgMar w:top="800" w:right="1200" w:bottom="440" w:left="1200" w:header="0" w:footer="0" w:gutter="0"/>
      <w:cols w:space="720" w:num="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原版宋体">
    <w:altName w:val="宋体"/>
    <w:panose1 w:val="00000000000000000000"/>
    <w:charset w:val="00"/>
    <w:family w:val="auto"/>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efaultTabStop w:val="800"/>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pPr>
      <w:jc w:val="both"/>
    </w:pPr>
    <w:rPr>
      <w:rFonts w:ascii="Times New Roman" w:hAnsi="Times New Roman" w:eastAsia="宋体" w:cs="Times New Roman"/>
      <w:kern w:val="2"/>
      <w:sz w:val="21"/>
      <w:lang w:val="en-US" w:eastAsia="zh-CN" w:bidi="ar-SA"/>
    </w:rPr>
  </w:style>
  <w:style w:type="character" w:default="1" w:styleId="2">
    <w:name w:val="Default Paragraph Font"/>
  </w:style>
  <w:style w:type="paragraph" w:customStyle="1" w:styleId="3">
    <w:name w:val="EMPTY_CELL_STYLE"/>
    <w:rPr>
      <w:rFonts w:ascii="Times New Roman" w:hAnsi="Times New Roman" w:eastAsia="宋体" w:cs="Times New Roman"/>
      <w:color w:val="000000"/>
      <w:sz w:val="1"/>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ScaleCrop>false</ScaleCrop>
  <LinksUpToDate>false</LinksUpToDate>
  <CharactersWithSpaces>0</CharactersWithSpaces>
  <Application>WPS Office 专业版_9.1.0.4167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2020-04-04T11:14:00Z</dcterms:created>
  <dc:creator>zrc</dc:creator>
  <dcterms:modified xsi:type="dcterms:W3CDTF">2020-04-13T15:48:15Z</dcterms:modified>
  <dc:title>宋芳玉</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