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8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
        <w:gridCol w:w="800"/>
        <w:gridCol w:w="1090"/>
        <w:gridCol w:w="910"/>
        <w:gridCol w:w="400"/>
        <w:gridCol w:w="200"/>
        <w:gridCol w:w="200"/>
        <w:gridCol w:w="40"/>
        <w:gridCol w:w="360"/>
        <w:gridCol w:w="20"/>
        <w:gridCol w:w="980"/>
        <w:gridCol w:w="1600"/>
        <w:gridCol w:w="400"/>
        <w:gridCol w:w="400"/>
        <w:gridCol w:w="220"/>
        <w:gridCol w:w="1380"/>
        <w:gridCol w:w="1600"/>
        <w:gridCol w:w="120"/>
        <w:gridCol w:w="116"/>
        <w:gridCol w:w="120"/>
        <w:gridCol w:w="624"/>
        <w:gridCol w:w="116"/>
        <w:gridCol w:w="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0" w:hRule="atLeast"/>
        </w:trPr>
        <w:tc>
          <w:tcPr>
            <w:tcW w:w="1" w:type="dxa"/>
            <w:vAlign w:val="top"/>
          </w:tcPr>
          <w:p>
            <w:pPr>
              <w:pStyle w:val="4"/>
            </w:pPr>
            <w:bookmarkStart w:id="0" w:name="JR_PAGE_ANCHOR_0_1"/>
            <w:bookmarkEnd w:id="0"/>
          </w:p>
        </w:tc>
        <w:tc>
          <w:tcPr>
            <w:tcW w:w="3400" w:type="dxa"/>
            <w:gridSpan w:val="5"/>
            <w:vAlign w:val="top"/>
          </w:tcPr>
          <w:p>
            <w:pPr>
              <w:pStyle w:val="4"/>
            </w:pPr>
          </w:p>
        </w:tc>
        <w:tc>
          <w:tcPr>
            <w:tcW w:w="200" w:type="dxa"/>
            <w:vAlign w:val="top"/>
          </w:tcPr>
          <w:p>
            <w:pPr>
              <w:pStyle w:val="4"/>
            </w:pPr>
          </w:p>
        </w:tc>
        <w:tc>
          <w:tcPr>
            <w:tcW w:w="7120" w:type="dxa"/>
            <w:gridSpan w:val="11"/>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1245" w:hRule="exact"/>
        </w:trPr>
        <w:tc>
          <w:tcPr>
            <w:tcW w:w="1" w:type="dxa"/>
            <w:vAlign w:val="top"/>
          </w:tcPr>
          <w:p>
            <w:pPr>
              <w:pStyle w:val="4"/>
            </w:pPr>
          </w:p>
        </w:tc>
        <w:tc>
          <w:tcPr>
            <w:tcW w:w="10720" w:type="dxa"/>
            <w:gridSpan w:val="17"/>
            <w:tcMar>
              <w:top w:w="0" w:type="dxa"/>
              <w:left w:w="0" w:type="dxa"/>
              <w:bottom w:w="0" w:type="dxa"/>
              <w:right w:w="0" w:type="dxa"/>
            </w:tcMar>
            <w:vAlign w:val="center"/>
          </w:tcPr>
          <w:p>
            <w:pPr>
              <w:spacing w:before="0" w:after="0" w:line="240" w:lineRule="auto"/>
              <w:jc w:val="center"/>
            </w:pPr>
            <w:r>
              <w:rPr>
                <w:b/>
                <w:color w:val="000000"/>
                <w:sz w:val="40"/>
              </w:rPr>
              <w:t>“金港湾瑞享6号”定期报告</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90" w:hRule="exact"/>
        </w:trPr>
        <w:tc>
          <w:tcPr>
            <w:tcW w:w="1" w:type="dxa"/>
            <w:vAlign w:val="top"/>
          </w:tcPr>
          <w:p>
            <w:pPr>
              <w:pStyle w:val="4"/>
            </w:pPr>
          </w:p>
        </w:tc>
        <w:tc>
          <w:tcPr>
            <w:tcW w:w="3400" w:type="dxa"/>
            <w:gridSpan w:val="5"/>
            <w:vAlign w:val="top"/>
          </w:tcPr>
          <w:p>
            <w:pPr>
              <w:pStyle w:val="4"/>
            </w:pPr>
          </w:p>
        </w:tc>
        <w:tc>
          <w:tcPr>
            <w:tcW w:w="240" w:type="dxa"/>
            <w:gridSpan w:val="2"/>
            <w:vAlign w:val="top"/>
          </w:tcPr>
          <w:p>
            <w:pPr>
              <w:pStyle w:val="4"/>
            </w:pPr>
          </w:p>
        </w:tc>
        <w:tc>
          <w:tcPr>
            <w:tcW w:w="7080" w:type="dxa"/>
            <w:gridSpan w:val="10"/>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r>
              <w:rPr>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r>
              <w:rPr>
                <w:color w:val="000000"/>
                <w:sz w:val="20"/>
              </w:rPr>
              <w:t>产品托管人：</w:t>
            </w:r>
            <w:r>
              <w:rPr>
                <w:rFonts w:hint="eastAsia"/>
                <w:color w:val="000000"/>
                <w:sz w:val="20"/>
                <w:lang w:eastAsia="zh-CN"/>
              </w:rPr>
              <w:t>南京银行股份有限公司</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r>
              <w:rPr>
                <w:color w:val="000000"/>
                <w:sz w:val="20"/>
              </w:rPr>
              <w:t>发布时间：2020年03月31日</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205" w:hRule="exact"/>
        </w:trPr>
        <w:tc>
          <w:tcPr>
            <w:tcW w:w="1" w:type="dxa"/>
            <w:vAlign w:val="top"/>
          </w:tcPr>
          <w:p>
            <w:pPr>
              <w:pStyle w:val="4"/>
            </w:pPr>
          </w:p>
        </w:tc>
        <w:tc>
          <w:tcPr>
            <w:tcW w:w="3400" w:type="dxa"/>
            <w:gridSpan w:val="5"/>
            <w:vAlign w:val="top"/>
          </w:tcPr>
          <w:p>
            <w:pPr>
              <w:pStyle w:val="4"/>
            </w:pPr>
          </w:p>
        </w:tc>
        <w:tc>
          <w:tcPr>
            <w:tcW w:w="200" w:type="dxa"/>
            <w:vAlign w:val="top"/>
          </w:tcPr>
          <w:p>
            <w:pPr>
              <w:pStyle w:val="4"/>
            </w:pPr>
          </w:p>
        </w:tc>
        <w:tc>
          <w:tcPr>
            <w:tcW w:w="7120" w:type="dxa"/>
            <w:gridSpan w:val="11"/>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500" w:hRule="exact"/>
        </w:trPr>
        <w:tc>
          <w:tcPr>
            <w:tcW w:w="1" w:type="dxa"/>
            <w:vAlign w:val="top"/>
          </w:tcPr>
          <w:p>
            <w:pPr>
              <w:pStyle w:val="4"/>
            </w:pPr>
          </w:p>
        </w:tc>
        <w:tc>
          <w:tcPr>
            <w:tcW w:w="10720" w:type="dxa"/>
            <w:gridSpan w:val="17"/>
            <w:tcMar>
              <w:top w:w="0" w:type="dxa"/>
              <w:left w:w="0" w:type="dxa"/>
              <w:bottom w:w="0" w:type="dxa"/>
              <w:right w:w="0" w:type="dxa"/>
            </w:tcMar>
            <w:vAlign w:val="top"/>
          </w:tcPr>
          <w:p>
            <w:r>
              <w:rPr>
                <w:b/>
                <w:color w:val="000000"/>
                <w:sz w:val="20"/>
              </w:rPr>
              <w:t>1  重要提示</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r>
              <w:rPr>
                <w:color w:val="000000"/>
                <w:sz w:val="20"/>
              </w:rPr>
              <w:t xml:space="preserve">    产品的过往业绩并不代表其未来表现。投资有风险，投资者在作出投资决策前应仔细阅读本产品说明书。</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r>
              <w:rPr>
                <w:color w:val="000000"/>
                <w:sz w:val="20"/>
              </w:rPr>
              <w:t xml:space="preserve">    本报告中财务资料未经审计。</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r>
              <w:rPr>
                <w:color w:val="000000"/>
                <w:sz w:val="20"/>
              </w:rPr>
              <w:t xml:space="preserve">    本报告期自2020年01月01日起至03月31日止。</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90" w:hRule="exact"/>
        </w:trPr>
        <w:tc>
          <w:tcPr>
            <w:tcW w:w="1" w:type="dxa"/>
            <w:vAlign w:val="top"/>
          </w:tcPr>
          <w:p>
            <w:pPr>
              <w:pStyle w:val="4"/>
            </w:pPr>
          </w:p>
        </w:tc>
        <w:tc>
          <w:tcPr>
            <w:tcW w:w="3400" w:type="dxa"/>
            <w:gridSpan w:val="5"/>
            <w:vAlign w:val="top"/>
          </w:tcPr>
          <w:p>
            <w:pPr>
              <w:pStyle w:val="4"/>
            </w:pPr>
          </w:p>
        </w:tc>
        <w:tc>
          <w:tcPr>
            <w:tcW w:w="200" w:type="dxa"/>
            <w:vAlign w:val="top"/>
          </w:tcPr>
          <w:p>
            <w:pPr>
              <w:pStyle w:val="4"/>
            </w:pPr>
          </w:p>
        </w:tc>
        <w:tc>
          <w:tcPr>
            <w:tcW w:w="7120" w:type="dxa"/>
            <w:gridSpan w:val="11"/>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500" w:hRule="exact"/>
        </w:trPr>
        <w:tc>
          <w:tcPr>
            <w:tcW w:w="1" w:type="dxa"/>
            <w:vAlign w:val="top"/>
          </w:tcPr>
          <w:p>
            <w:pPr>
              <w:pStyle w:val="4"/>
            </w:pPr>
          </w:p>
        </w:tc>
        <w:tc>
          <w:tcPr>
            <w:tcW w:w="10720" w:type="dxa"/>
            <w:gridSpan w:val="17"/>
            <w:tcMar>
              <w:top w:w="0" w:type="dxa"/>
              <w:left w:w="0" w:type="dxa"/>
              <w:bottom w:w="0" w:type="dxa"/>
              <w:right w:w="0" w:type="dxa"/>
            </w:tcMar>
            <w:vAlign w:val="center"/>
          </w:tcPr>
          <w:p>
            <w:pPr>
              <w:spacing w:before="0" w:after="0" w:line="360" w:lineRule="auto"/>
            </w:pPr>
            <w:r>
              <w:rPr>
                <w:b/>
                <w:color w:val="000000"/>
                <w:sz w:val="20"/>
              </w:rPr>
              <w:t>2  产品概况</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8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产品名称</w:t>
            </w:r>
          </w:p>
        </w:tc>
        <w:tc>
          <w:tcPr>
            <w:tcW w:w="712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金港湾瑞享6号</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产品编码</w:t>
            </w:r>
          </w:p>
        </w:tc>
        <w:tc>
          <w:tcPr>
            <w:tcW w:w="712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RX06</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全国银行业理财信息登记系统编码</w:t>
            </w:r>
          </w:p>
        </w:tc>
        <w:tc>
          <w:tcPr>
            <w:tcW w:w="712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C1115619000070</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产品运作方式</w:t>
            </w:r>
          </w:p>
        </w:tc>
        <w:tc>
          <w:tcPr>
            <w:tcW w:w="712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开放式净值型</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产品类型</w:t>
            </w:r>
          </w:p>
        </w:tc>
        <w:tc>
          <w:tcPr>
            <w:tcW w:w="712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固定收益类</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募集方式</w:t>
            </w:r>
          </w:p>
        </w:tc>
        <w:tc>
          <w:tcPr>
            <w:tcW w:w="712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公募</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报告期末产品份额总额</w:t>
            </w:r>
          </w:p>
        </w:tc>
        <w:tc>
          <w:tcPr>
            <w:tcW w:w="712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1,254,625,829.77</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275" w:hRule="exact"/>
        </w:trPr>
        <w:tc>
          <w:tcPr>
            <w:tcW w:w="1" w:type="dxa"/>
            <w:vAlign w:val="top"/>
          </w:tcPr>
          <w:p>
            <w:pPr>
              <w:pStyle w:val="4"/>
            </w:pPr>
          </w:p>
        </w:tc>
        <w:tc>
          <w:tcPr>
            <w:tcW w:w="3400" w:type="dxa"/>
            <w:gridSpan w:val="5"/>
            <w:vAlign w:val="top"/>
          </w:tcPr>
          <w:p>
            <w:pPr>
              <w:pStyle w:val="4"/>
            </w:pPr>
          </w:p>
        </w:tc>
        <w:tc>
          <w:tcPr>
            <w:tcW w:w="200" w:type="dxa"/>
            <w:vAlign w:val="top"/>
          </w:tcPr>
          <w:p>
            <w:pPr>
              <w:pStyle w:val="4"/>
            </w:pPr>
          </w:p>
        </w:tc>
        <w:tc>
          <w:tcPr>
            <w:tcW w:w="7120" w:type="dxa"/>
            <w:gridSpan w:val="11"/>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10720" w:type="dxa"/>
            <w:gridSpan w:val="17"/>
            <w:tcMar>
              <w:top w:w="0" w:type="dxa"/>
              <w:left w:w="0" w:type="dxa"/>
              <w:bottom w:w="0" w:type="dxa"/>
              <w:right w:w="0" w:type="dxa"/>
            </w:tcMar>
            <w:vAlign w:val="center"/>
          </w:tcPr>
          <w:p>
            <w:pPr>
              <w:spacing w:before="0" w:after="0" w:line="360" w:lineRule="auto"/>
            </w:pPr>
            <w:r>
              <w:rPr>
                <w:rFonts w:hint="eastAsia"/>
                <w:b/>
                <w:color w:val="000000"/>
                <w:sz w:val="20"/>
                <w:lang w:val="en-US" w:eastAsia="zh-CN"/>
              </w:rPr>
              <w:t>3</w:t>
            </w:r>
            <w:r>
              <w:rPr>
                <w:b/>
                <w:color w:val="000000"/>
                <w:sz w:val="20"/>
              </w:rPr>
              <w:t xml:space="preserve">  投资组合报告</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10720" w:type="dxa"/>
            <w:gridSpan w:val="17"/>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.1 报告期末产品资产组合情况</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w:t>
            </w:r>
            <w:r>
              <w:rPr>
                <w:rFonts w:hint="eastAsia"/>
                <w:b/>
                <w:color w:val="000000"/>
                <w:sz w:val="20"/>
                <w:lang w:eastAsia="zh-CN"/>
              </w:rPr>
              <w:t>组合</w:t>
            </w:r>
            <w:r>
              <w:rPr>
                <w:b/>
                <w:color w:val="000000"/>
                <w:sz w:val="20"/>
              </w:rPr>
              <w:t>比例（%）</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 xml:space="preserve"> 1,506,701,645.88 </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99.65%</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 xml:space="preserve"> 1,231,419,096.56 </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81.45%</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color w:val="000000"/>
                <w:sz w:val="20"/>
              </w:rPr>
              <w:t>0.00%</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1"/>
                <w:u w:val="none"/>
                <w:lang w:eastAsia="zh-CN"/>
              </w:rPr>
              <w:t xml:space="preserve">    非银行间</w:t>
            </w:r>
            <w:r>
              <w:rPr>
                <w:rFonts w:hint="default" w:ascii="Calibri" w:hAnsi="宋体"/>
                <w:b w:val="0"/>
                <w:i w:val="0"/>
                <w:color w:val="000000"/>
                <w:sz w:val="21"/>
                <w:u w:val="none"/>
              </w:rPr>
              <w:t>/</w:t>
            </w:r>
            <w:r>
              <w:rPr>
                <w:rFonts w:hint="default" w:ascii="宋体" w:hAnsi="宋体" w:eastAsia="宋体"/>
                <w:b w:val="0"/>
                <w:i w:val="0"/>
                <w:color w:val="000000"/>
                <w:sz w:val="21"/>
                <w:u w:val="none"/>
                <w:lang w:eastAsia="zh-CN"/>
              </w:rPr>
              <w:t>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ascii="宋体" w:hAnsi="宋体" w:eastAsia="宋体"/>
                <w:b w:val="0"/>
                <w:i w:val="0"/>
                <w:color w:val="000000"/>
                <w:sz w:val="24"/>
                <w:u w:val="none"/>
                <w:lang w:eastAsia="zh-CN"/>
              </w:rPr>
              <w:t xml:space="preserve"> </w:t>
            </w:r>
            <w:r>
              <w:rPr>
                <w:rFonts w:hint="default"/>
                <w:color w:val="000000"/>
                <w:sz w:val="20"/>
                <w:lang w:eastAsia="zh-CN"/>
              </w:rPr>
              <w:t xml:space="preserve">275,282,549.32 </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18.21%</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2</w:t>
            </w: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color w:val="000000"/>
                <w:sz w:val="20"/>
                <w:lang w:eastAsia="zh-CN"/>
              </w:rPr>
              <w:t xml:space="preserve"> 5,252,295.29 </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0.35%</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3</w:t>
            </w: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4</w:t>
            </w:r>
          </w:p>
        </w:tc>
        <w:tc>
          <w:tcPr>
            <w:tcW w:w="32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rPr>
              <w:t>1,511,953,941.17</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100.00%</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exact"/>
        </w:trPr>
        <w:tc>
          <w:tcPr>
            <w:tcW w:w="1" w:type="dxa"/>
            <w:vAlign w:val="top"/>
          </w:tcPr>
          <w:p>
            <w:pPr>
              <w:pStyle w:val="4"/>
            </w:pPr>
          </w:p>
        </w:tc>
        <w:tc>
          <w:tcPr>
            <w:tcW w:w="800" w:type="dxa"/>
            <w:vAlign w:val="top"/>
          </w:tcPr>
          <w:p>
            <w:pPr>
              <w:pStyle w:val="4"/>
            </w:pPr>
          </w:p>
        </w:tc>
        <w:tc>
          <w:tcPr>
            <w:tcW w:w="2600" w:type="dxa"/>
            <w:gridSpan w:val="4"/>
            <w:vAlign w:val="top"/>
          </w:tcPr>
          <w:p>
            <w:pPr>
              <w:pStyle w:val="4"/>
            </w:pPr>
          </w:p>
        </w:tc>
        <w:tc>
          <w:tcPr>
            <w:tcW w:w="600" w:type="dxa"/>
            <w:gridSpan w:val="3"/>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100" w:type="dxa"/>
            <w:gridSpan w:val="3"/>
            <w:vAlign w:val="top"/>
          </w:tcPr>
          <w:p>
            <w:pPr>
              <w:pStyle w:val="4"/>
            </w:pP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10720" w:type="dxa"/>
            <w:gridSpan w:val="17"/>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.2 报告期末按债券品种分类的债券投资组合</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w:t>
            </w:r>
            <w:r>
              <w:rPr>
                <w:rFonts w:hint="eastAsia"/>
                <w:b/>
                <w:color w:val="000000"/>
                <w:sz w:val="20"/>
                <w:lang w:eastAsia="zh-CN"/>
              </w:rPr>
              <w:t>组合</w:t>
            </w:r>
            <w:r>
              <w:rPr>
                <w:b/>
                <w:color w:val="000000"/>
                <w:sz w:val="20"/>
              </w:rPr>
              <w:t>比例（％）</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5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w:t>
            </w: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w:t>
            </w: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155,652,781.24</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rPr>
                <w:color w:val="000000"/>
                <w:sz w:val="20"/>
              </w:rPr>
            </w:pPr>
            <w:r>
              <w:rPr>
                <w:rFonts w:hint="default"/>
                <w:color w:val="000000"/>
                <w:sz w:val="20"/>
                <w:lang w:eastAsia="zh-CN"/>
              </w:rPr>
              <w:t>10.</w:t>
            </w:r>
            <w:r>
              <w:rPr>
                <w:rFonts w:hint="eastAsia"/>
                <w:color w:val="000000"/>
                <w:sz w:val="20"/>
                <w:lang w:val="en-US" w:eastAsia="zh-CN"/>
              </w:rPr>
              <w:t>30</w:t>
            </w:r>
            <w:r>
              <w:rPr>
                <w:rFonts w:hint="default"/>
                <w:color w:val="000000"/>
                <w:sz w:val="20"/>
                <w:lang w:eastAsia="zh-CN"/>
              </w:rPr>
              <w:t>%</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4</w:t>
            </w: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1,075,766,315.32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color w:val="000000"/>
                <w:sz w:val="20"/>
                <w:lang w:eastAsia="zh-CN"/>
              </w:rPr>
              <w:t>71.15%</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5</w:t>
            </w: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6</w:t>
            </w:r>
          </w:p>
        </w:tc>
        <w:tc>
          <w:tcPr>
            <w:tcW w:w="32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pPr>
            <w:r>
              <w:rPr>
                <w:color w:val="000000"/>
                <w:sz w:val="20"/>
              </w:rPr>
              <w:t>7</w:t>
            </w:r>
          </w:p>
        </w:tc>
        <w:tc>
          <w:tcPr>
            <w:tcW w:w="3220" w:type="dxa"/>
            <w:gridSpan w:val="8"/>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pPr>
            <w:r>
              <w:rPr>
                <w:color w:val="000000"/>
                <w:sz w:val="20"/>
              </w:rPr>
              <w:t>其他</w:t>
            </w:r>
          </w:p>
        </w:tc>
        <w:tc>
          <w:tcPr>
            <w:tcW w:w="3600" w:type="dxa"/>
            <w:gridSpan w:val="5"/>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20" w:hRule="exact"/>
        </w:trPr>
        <w:tc>
          <w:tcPr>
            <w:tcW w:w="1" w:type="dxa"/>
            <w:tcBorders>
              <w:bottom w:val="nil"/>
              <w:right w:val="single" w:color="auto" w:sz="4" w:space="0"/>
            </w:tcBorders>
            <w:vAlign w:val="top"/>
          </w:tcPr>
          <w:p>
            <w:pPr>
              <w:pStyle w:val="4"/>
            </w:pPr>
          </w:p>
        </w:tc>
        <w:tc>
          <w:tcPr>
            <w:tcW w:w="800" w:type="dxa"/>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color w:val="000000"/>
                <w:sz w:val="20"/>
              </w:rPr>
              <w:t>8</w:t>
            </w:r>
          </w:p>
        </w:tc>
        <w:tc>
          <w:tcPr>
            <w:tcW w:w="3220" w:type="dxa"/>
            <w:gridSpan w:val="8"/>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color w:val="000000"/>
                <w:sz w:val="20"/>
              </w:rPr>
              <w:t>合计</w:t>
            </w:r>
          </w:p>
        </w:tc>
        <w:tc>
          <w:tcPr>
            <w:tcW w:w="3600" w:type="dxa"/>
            <w:gridSpan w:val="5"/>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ind w:right="160"/>
              <w:jc w:val="right"/>
            </w:pPr>
            <w:r>
              <w:rPr>
                <w:color w:val="000000"/>
                <w:sz w:val="20"/>
              </w:rPr>
              <w:t>1,231,419,096.56</w:t>
            </w:r>
          </w:p>
        </w:tc>
        <w:tc>
          <w:tcPr>
            <w:tcW w:w="3100" w:type="dxa"/>
            <w:gridSpan w:val="3"/>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autoSpaceDN w:val="0"/>
              <w:jc w:val="right"/>
              <w:textAlignment w:val="center"/>
            </w:pPr>
            <w:r>
              <w:rPr>
                <w:rFonts w:hint="default"/>
                <w:color w:val="000000"/>
                <w:sz w:val="20"/>
                <w:lang w:eastAsia="zh-CN"/>
              </w:rPr>
              <w:t>81.45%</w:t>
            </w:r>
          </w:p>
        </w:tc>
        <w:tc>
          <w:tcPr>
            <w:tcW w:w="860" w:type="dxa"/>
            <w:gridSpan w:val="3"/>
            <w:tcBorders>
              <w:left w:val="single" w:color="auto" w:sz="4" w:space="0"/>
              <w:bottom w:val="nil"/>
            </w:tcBorders>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600" w:hRule="exact"/>
        </w:trPr>
        <w:tc>
          <w:tcPr>
            <w:tcW w:w="1" w:type="dxa"/>
            <w:tcBorders>
              <w:top w:val="nil"/>
              <w:bottom w:val="nil"/>
              <w:right w:val="nil"/>
            </w:tcBorders>
            <w:vAlign w:val="top"/>
          </w:tcPr>
          <w:p>
            <w:pPr>
              <w:pStyle w:val="4"/>
            </w:pPr>
            <w:bookmarkStart w:id="1" w:name="JR_PAGE_ANCHOR_0_3"/>
            <w:bookmarkEnd w:id="1"/>
          </w:p>
        </w:tc>
        <w:tc>
          <w:tcPr>
            <w:tcW w:w="800" w:type="dxa"/>
            <w:tcBorders>
              <w:top w:val="nil"/>
              <w:left w:val="nil"/>
              <w:bottom w:val="nil"/>
              <w:right w:val="nil"/>
            </w:tcBorders>
            <w:tcMar>
              <w:top w:w="0" w:type="dxa"/>
              <w:left w:w="80" w:type="dxa"/>
              <w:bottom w:w="0" w:type="dxa"/>
              <w:right w:w="0" w:type="dxa"/>
            </w:tcMar>
            <w:vAlign w:val="center"/>
          </w:tcPr>
          <w:p>
            <w:pPr>
              <w:jc w:val="left"/>
              <w:rPr>
                <w:b/>
                <w:color w:val="000000"/>
                <w:sz w:val="20"/>
              </w:rPr>
            </w:pPr>
          </w:p>
        </w:tc>
        <w:tc>
          <w:tcPr>
            <w:tcW w:w="1090" w:type="dxa"/>
            <w:tcBorders>
              <w:top w:val="nil"/>
              <w:left w:val="nil"/>
              <w:bottom w:val="nil"/>
              <w:right w:val="nil"/>
            </w:tcBorders>
            <w:tcMar>
              <w:top w:w="0" w:type="dxa"/>
              <w:left w:w="80" w:type="dxa"/>
              <w:bottom w:w="0" w:type="dxa"/>
              <w:right w:w="0" w:type="dxa"/>
            </w:tcMar>
            <w:vAlign w:val="center"/>
          </w:tcPr>
          <w:p>
            <w:pPr>
              <w:jc w:val="left"/>
              <w:rPr>
                <w:b/>
                <w:color w:val="000000"/>
                <w:sz w:val="20"/>
              </w:rPr>
            </w:pPr>
          </w:p>
        </w:tc>
        <w:tc>
          <w:tcPr>
            <w:tcW w:w="3110" w:type="dxa"/>
            <w:gridSpan w:val="8"/>
            <w:tcBorders>
              <w:top w:val="nil"/>
              <w:left w:val="nil"/>
              <w:bottom w:val="nil"/>
              <w:right w:val="nil"/>
            </w:tcBorders>
            <w:tcMar>
              <w:top w:w="0" w:type="dxa"/>
              <w:left w:w="80" w:type="dxa"/>
              <w:bottom w:w="0" w:type="dxa"/>
              <w:right w:w="0" w:type="dxa"/>
            </w:tcMar>
            <w:vAlign w:val="center"/>
          </w:tcPr>
          <w:p>
            <w:pPr>
              <w:jc w:val="left"/>
              <w:rPr>
                <w:b/>
                <w:color w:val="000000"/>
                <w:sz w:val="20"/>
              </w:rPr>
            </w:pPr>
          </w:p>
        </w:tc>
        <w:tc>
          <w:tcPr>
            <w:tcW w:w="2000" w:type="dxa"/>
            <w:gridSpan w:val="2"/>
            <w:tcBorders>
              <w:top w:val="nil"/>
              <w:left w:val="nil"/>
              <w:bottom w:val="nil"/>
              <w:right w:val="nil"/>
            </w:tcBorders>
            <w:tcMar>
              <w:top w:w="0" w:type="dxa"/>
              <w:left w:w="80" w:type="dxa"/>
              <w:bottom w:w="0" w:type="dxa"/>
              <w:right w:w="0" w:type="dxa"/>
            </w:tcMar>
            <w:vAlign w:val="center"/>
          </w:tcPr>
          <w:p>
            <w:pPr>
              <w:jc w:val="left"/>
              <w:rPr>
                <w:b/>
                <w:color w:val="000000"/>
                <w:sz w:val="20"/>
              </w:rPr>
            </w:pPr>
          </w:p>
        </w:tc>
        <w:tc>
          <w:tcPr>
            <w:tcW w:w="2000" w:type="dxa"/>
            <w:gridSpan w:val="3"/>
            <w:tcBorders>
              <w:top w:val="nil"/>
              <w:left w:val="nil"/>
              <w:bottom w:val="nil"/>
              <w:right w:val="nil"/>
            </w:tcBorders>
            <w:tcMar>
              <w:top w:w="0" w:type="dxa"/>
              <w:left w:w="80" w:type="dxa"/>
              <w:bottom w:w="0" w:type="dxa"/>
              <w:right w:w="0" w:type="dxa"/>
            </w:tcMar>
            <w:vAlign w:val="center"/>
          </w:tcPr>
          <w:p>
            <w:pPr>
              <w:jc w:val="left"/>
              <w:rPr>
                <w:b/>
                <w:color w:val="000000"/>
                <w:sz w:val="20"/>
              </w:rPr>
            </w:pPr>
          </w:p>
        </w:tc>
        <w:tc>
          <w:tcPr>
            <w:tcW w:w="1600" w:type="dxa"/>
            <w:tcBorders>
              <w:top w:val="nil"/>
              <w:left w:val="nil"/>
              <w:bottom w:val="nil"/>
              <w:right w:val="nil"/>
            </w:tcBorders>
            <w:tcMar>
              <w:top w:w="0" w:type="dxa"/>
              <w:left w:w="80" w:type="dxa"/>
              <w:bottom w:w="0" w:type="dxa"/>
              <w:right w:w="0" w:type="dxa"/>
            </w:tcMar>
            <w:vAlign w:val="center"/>
          </w:tcPr>
          <w:p>
            <w:pPr>
              <w:jc w:val="center"/>
              <w:rPr>
                <w:b/>
                <w:color w:val="000000"/>
                <w:sz w:val="20"/>
              </w:rPr>
            </w:pPr>
          </w:p>
        </w:tc>
        <w:tc>
          <w:tcPr>
            <w:tcW w:w="236" w:type="dxa"/>
            <w:gridSpan w:val="2"/>
            <w:tcBorders>
              <w:top w:val="nil"/>
              <w:left w:val="nil"/>
              <w:bottom w:val="nil"/>
              <w:right w:val="nil"/>
            </w:tcBorders>
            <w:vAlign w:val="top"/>
          </w:tcPr>
          <w:p>
            <w:pPr>
              <w:pStyle w:val="4"/>
            </w:pPr>
          </w:p>
        </w:tc>
        <w:tc>
          <w:tcPr>
            <w:tcW w:w="860" w:type="dxa"/>
            <w:gridSpan w:val="3"/>
            <w:tcBorders>
              <w:top w:val="nil"/>
              <w:left w:val="nil"/>
              <w:bottom w:val="nil"/>
            </w:tcBorders>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600" w:hRule="exact"/>
        </w:trPr>
        <w:tc>
          <w:tcPr>
            <w:tcW w:w="1" w:type="dxa"/>
            <w:tcBorders>
              <w:top w:val="nil"/>
              <w:left w:val="nil"/>
              <w:bottom w:val="nil"/>
              <w:right w:val="nil"/>
            </w:tcBorders>
            <w:vAlign w:val="top"/>
          </w:tcPr>
          <w:p>
            <w:pPr>
              <w:pStyle w:val="4"/>
            </w:pPr>
          </w:p>
        </w:tc>
        <w:tc>
          <w:tcPr>
            <w:tcW w:w="10600" w:type="dxa"/>
            <w:gridSpan w:val="16"/>
            <w:tcBorders>
              <w:top w:val="nil"/>
              <w:left w:val="nil"/>
              <w:bottom w:val="single" w:color="auto" w:sz="4" w:space="0"/>
              <w:right w:val="nil"/>
            </w:tcBorders>
            <w:tcMar>
              <w:top w:w="0" w:type="dxa"/>
              <w:left w:w="80" w:type="dxa"/>
              <w:bottom w:w="0" w:type="dxa"/>
              <w:right w:w="0" w:type="dxa"/>
            </w:tcMar>
            <w:vAlign w:val="center"/>
          </w:tcPr>
          <w:p>
            <w:pPr>
              <w:spacing w:before="0" w:after="0" w:line="360" w:lineRule="auto"/>
              <w:rPr>
                <w:b/>
                <w:color w:val="000000"/>
                <w:sz w:val="20"/>
              </w:rPr>
            </w:pPr>
            <w:r>
              <w:rPr>
                <w:rFonts w:hint="eastAsia"/>
                <w:color w:val="000000"/>
                <w:sz w:val="20"/>
                <w:lang w:val="en-US" w:eastAsia="zh-CN"/>
              </w:rPr>
              <w:t>3</w:t>
            </w:r>
            <w:r>
              <w:rPr>
                <w:color w:val="000000"/>
                <w:sz w:val="20"/>
              </w:rPr>
              <w:t>.3 报告期末按市值占产品资产净值比例大小排名的前十名资产投资明细</w:t>
            </w:r>
          </w:p>
        </w:tc>
        <w:tc>
          <w:tcPr>
            <w:tcW w:w="236" w:type="dxa"/>
            <w:gridSpan w:val="2"/>
            <w:tcBorders>
              <w:top w:val="nil"/>
              <w:left w:val="nil"/>
              <w:bottom w:val="nil"/>
              <w:right w:val="nil"/>
            </w:tcBorders>
            <w:vAlign w:val="center"/>
          </w:tcPr>
          <w:p>
            <w:pPr>
              <w:spacing w:before="0" w:after="0" w:line="360" w:lineRule="auto"/>
            </w:pPr>
          </w:p>
        </w:tc>
        <w:tc>
          <w:tcPr>
            <w:tcW w:w="860" w:type="dxa"/>
            <w:gridSpan w:val="3"/>
            <w:tcBorders>
              <w:top w:val="nil"/>
              <w:left w:val="nil"/>
              <w:bottom w:val="nil"/>
              <w:right w:val="nil"/>
            </w:tcBorders>
            <w:vAlign w:val="center"/>
          </w:tcPr>
          <w:p>
            <w:pPr>
              <w:spacing w:before="0" w:after="0" w:line="360" w:lineRule="auto"/>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600" w:hRule="exact"/>
        </w:trPr>
        <w:tc>
          <w:tcPr>
            <w:tcW w:w="1" w:type="dxa"/>
            <w:tcBorders>
              <w:top w:val="nil"/>
              <w:right w:val="single" w:color="auto" w:sz="4" w:space="0"/>
            </w:tcBorders>
            <w:vAlign w:val="top"/>
          </w:tcPr>
          <w:p>
            <w:pPr>
              <w:pStyle w:val="4"/>
            </w:pPr>
          </w:p>
        </w:tc>
        <w:tc>
          <w:tcPr>
            <w:tcW w:w="800" w:type="dxa"/>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b/>
                <w:color w:val="000000"/>
                <w:sz w:val="20"/>
              </w:rPr>
              <w:t>序号</w:t>
            </w:r>
          </w:p>
        </w:tc>
        <w:tc>
          <w:tcPr>
            <w:tcW w:w="1090" w:type="dxa"/>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b/>
                <w:color w:val="000000"/>
                <w:sz w:val="20"/>
              </w:rPr>
              <w:t>资产代码</w:t>
            </w:r>
          </w:p>
        </w:tc>
        <w:tc>
          <w:tcPr>
            <w:tcW w:w="3110" w:type="dxa"/>
            <w:gridSpan w:val="8"/>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b/>
                <w:color w:val="000000"/>
                <w:sz w:val="20"/>
              </w:rPr>
              <w:t>资产名称</w:t>
            </w:r>
          </w:p>
        </w:tc>
        <w:tc>
          <w:tcPr>
            <w:tcW w:w="2000" w:type="dxa"/>
            <w:gridSpan w:val="2"/>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b/>
                <w:color w:val="000000"/>
                <w:sz w:val="20"/>
              </w:rPr>
              <w:t>数量</w:t>
            </w:r>
          </w:p>
        </w:tc>
        <w:tc>
          <w:tcPr>
            <w:tcW w:w="2000" w:type="dxa"/>
            <w:gridSpan w:val="3"/>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b/>
                <w:color w:val="000000"/>
                <w:sz w:val="20"/>
              </w:rPr>
              <w:t>市值(元)</w:t>
            </w:r>
          </w:p>
        </w:tc>
        <w:tc>
          <w:tcPr>
            <w:tcW w:w="1600" w:type="dxa"/>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center"/>
            </w:pPr>
            <w:r>
              <w:rPr>
                <w:b/>
                <w:color w:val="000000"/>
                <w:sz w:val="20"/>
              </w:rPr>
              <w:t>占资产净值比例（％）</w:t>
            </w:r>
          </w:p>
        </w:tc>
        <w:tc>
          <w:tcPr>
            <w:tcW w:w="236" w:type="dxa"/>
            <w:gridSpan w:val="2"/>
            <w:tcBorders>
              <w:top w:val="nil"/>
              <w:left w:val="single" w:color="auto" w:sz="4" w:space="0"/>
            </w:tcBorders>
            <w:vAlign w:val="top"/>
          </w:tcPr>
          <w:p>
            <w:pPr>
              <w:pStyle w:val="4"/>
            </w:pPr>
          </w:p>
        </w:tc>
        <w:tc>
          <w:tcPr>
            <w:tcW w:w="860" w:type="dxa"/>
            <w:gridSpan w:val="3"/>
            <w:tcBorders>
              <w:top w:val="nil"/>
            </w:tcBorders>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500" w:hRule="exact"/>
        </w:trPr>
        <w:tc>
          <w:tcPr>
            <w:tcW w:w="1" w:type="dxa"/>
            <w:vAlign w:val="top"/>
          </w:tcPr>
          <w:p>
            <w:pPr>
              <w:pStyle w:val="4"/>
            </w:pPr>
          </w:p>
        </w:tc>
        <w:tc>
          <w:tcPr>
            <w:tcW w:w="800" w:type="dxa"/>
            <w:tcBorders>
              <w:top w:val="single" w:color="auto" w:sz="4"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w:t>
            </w:r>
          </w:p>
        </w:tc>
        <w:tc>
          <w:tcPr>
            <w:tcW w:w="1090" w:type="dxa"/>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091900019       </w:t>
            </w:r>
          </w:p>
        </w:tc>
        <w:tc>
          <w:tcPr>
            <w:tcW w:w="3110" w:type="dxa"/>
            <w:gridSpan w:val="8"/>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19中金公司金融债01</w:t>
            </w:r>
          </w:p>
        </w:tc>
        <w:tc>
          <w:tcPr>
            <w:tcW w:w="2000" w:type="dxa"/>
            <w:gridSpan w:val="2"/>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60,000,000.00</w:t>
            </w:r>
          </w:p>
        </w:tc>
        <w:tc>
          <w:tcPr>
            <w:tcW w:w="2000" w:type="dxa"/>
            <w:gridSpan w:val="3"/>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61,812,595.08</w:t>
            </w:r>
          </w:p>
        </w:tc>
        <w:tc>
          <w:tcPr>
            <w:tcW w:w="1600" w:type="dxa"/>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4.75%</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60" w:hRule="exact"/>
        </w:trPr>
        <w:tc>
          <w:tcPr>
            <w:tcW w:w="1" w:type="dxa"/>
            <w:vAlign w:val="top"/>
          </w:tcPr>
          <w:p>
            <w:pPr>
              <w:pStyle w:val="4"/>
            </w:pPr>
          </w:p>
        </w:tc>
        <w:tc>
          <w:tcPr>
            <w:tcW w:w="800" w:type="dxa"/>
            <w:vMerge w:val="restart"/>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2</w:t>
            </w:r>
          </w:p>
        </w:tc>
        <w:tc>
          <w:tcPr>
            <w:tcW w:w="1090" w:type="dxa"/>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031772012       </w:t>
            </w:r>
          </w:p>
        </w:tc>
        <w:tc>
          <w:tcPr>
            <w:tcW w:w="3110" w:type="dxa"/>
            <w:gridSpan w:val="8"/>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17泰华信PPN001</w:t>
            </w:r>
          </w:p>
        </w:tc>
        <w:tc>
          <w:tcPr>
            <w:tcW w:w="2000" w:type="dxa"/>
            <w:gridSpan w:val="2"/>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52,719,208.00</w:t>
            </w:r>
          </w:p>
        </w:tc>
        <w:tc>
          <w:tcPr>
            <w:tcW w:w="1600" w:type="dxa"/>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4.05%</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440" w:hRule="exact"/>
        </w:trPr>
        <w:tc>
          <w:tcPr>
            <w:tcW w:w="1" w:type="dxa"/>
            <w:vAlign w:val="top"/>
          </w:tcPr>
          <w:p>
            <w:pPr>
              <w:pStyle w:val="4"/>
            </w:pPr>
          </w:p>
        </w:tc>
        <w:tc>
          <w:tcPr>
            <w:tcW w:w="800" w:type="dxa"/>
            <w:vMerge w:val="continue"/>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pStyle w:val="4"/>
            </w:pPr>
          </w:p>
        </w:tc>
        <w:tc>
          <w:tcPr>
            <w:tcW w:w="1090" w:type="dxa"/>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3110" w:type="dxa"/>
            <w:gridSpan w:val="8"/>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000" w:type="dxa"/>
            <w:gridSpan w:val="2"/>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000" w:type="dxa"/>
            <w:gridSpan w:val="3"/>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1600" w:type="dxa"/>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3</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101758044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17吴中经发MTN001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52,281,398.85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4.02%</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68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4</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19088162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金华市城市建设投资集团有限公司2019年度第一期理财直接融资工具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52,044,794.52</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4.00%</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5</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031771030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17无锡山水PPN001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51,796,338.60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3.98%</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68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6</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19088188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南京安居建设集团有限责任公司2019年度第三期理财直接融资工具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50,176,250.00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3.86%</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9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7</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19088138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苏州市相城交通建设投资（集团）有限公司2019年度第二期理财直接融资工具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ascii="宋体" w:hAnsi="宋体" w:eastAsia="宋体"/>
                <w:b w:val="0"/>
                <w:i w:val="0"/>
                <w:color w:val="000000"/>
                <w:sz w:val="24"/>
                <w:u w:val="none"/>
                <w:lang w:eastAsia="zh-CN"/>
              </w:rPr>
              <w:t xml:space="preserve"> </w:t>
            </w:r>
            <w:r>
              <w:rPr>
                <w:rFonts w:hint="default"/>
                <w:color w:val="000000"/>
                <w:sz w:val="20"/>
                <w:lang w:eastAsia="zh-CN"/>
              </w:rPr>
              <w:t xml:space="preserve">50,034,375.00 </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3.85%</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8</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101800876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18汾湖投资MTN002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42,832,601.31</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3.29%</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9</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101900105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19苏国资MTN002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41,565,282.40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3.20%</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9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10</w:t>
            </w:r>
          </w:p>
        </w:tc>
        <w:tc>
          <w:tcPr>
            <w:tcW w:w="109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18088143                    </w:t>
            </w:r>
          </w:p>
        </w:tc>
        <w:tc>
          <w:tcPr>
            <w:tcW w:w="311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南京江宁城市建设集团有限公司2018年度第一期理财直接融资工具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ascii="宋体" w:hAnsi="宋体" w:eastAsia="宋体"/>
                <w:b w:val="0"/>
                <w:i w:val="0"/>
                <w:color w:val="000000"/>
                <w:sz w:val="24"/>
                <w:u w:val="none"/>
                <w:lang w:eastAsia="zh-CN"/>
              </w:rPr>
              <w:t xml:space="preserve"> </w:t>
            </w:r>
            <w:r>
              <w:rPr>
                <w:rFonts w:hint="default"/>
                <w:color w:val="000000"/>
                <w:sz w:val="20"/>
                <w:lang w:eastAsia="zh-CN"/>
              </w:rPr>
              <w:t xml:space="preserve">40,317,589.04 </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3.10%</w:t>
            </w: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420" w:hRule="exact"/>
        </w:trPr>
        <w:tc>
          <w:tcPr>
            <w:tcW w:w="1" w:type="dxa"/>
            <w:vAlign w:val="top"/>
          </w:tcPr>
          <w:p>
            <w:pPr>
              <w:pStyle w:val="4"/>
            </w:pPr>
          </w:p>
        </w:tc>
        <w:tc>
          <w:tcPr>
            <w:tcW w:w="800" w:type="dxa"/>
            <w:vAlign w:val="top"/>
          </w:tcPr>
          <w:p>
            <w:pPr>
              <w:pStyle w:val="4"/>
            </w:pPr>
          </w:p>
        </w:tc>
        <w:tc>
          <w:tcPr>
            <w:tcW w:w="1090" w:type="dxa"/>
            <w:vAlign w:val="top"/>
          </w:tcPr>
          <w:p>
            <w:pPr>
              <w:pStyle w:val="4"/>
            </w:pPr>
          </w:p>
        </w:tc>
        <w:tc>
          <w:tcPr>
            <w:tcW w:w="1310" w:type="dxa"/>
            <w:gridSpan w:val="2"/>
            <w:vAlign w:val="top"/>
          </w:tcPr>
          <w:p>
            <w:pPr>
              <w:pStyle w:val="4"/>
            </w:pPr>
          </w:p>
        </w:tc>
        <w:tc>
          <w:tcPr>
            <w:tcW w:w="1800" w:type="dxa"/>
            <w:gridSpan w:val="6"/>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.4 报告期末</w:t>
            </w:r>
            <w:r>
              <w:rPr>
                <w:rFonts w:hint="eastAsia"/>
                <w:color w:val="000000"/>
                <w:sz w:val="20"/>
                <w:lang w:eastAsia="zh-CN"/>
              </w:rPr>
              <w:t>资产</w:t>
            </w:r>
            <w:r>
              <w:rPr>
                <w:color w:val="000000"/>
                <w:sz w:val="20"/>
              </w:rPr>
              <w:t>组合流动性风险分析</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流动性资产市值（元）</w:t>
            </w:r>
          </w:p>
        </w:tc>
        <w:tc>
          <w:tcPr>
            <w:tcW w:w="34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产品资产净值（元）</w:t>
            </w:r>
          </w:p>
        </w:tc>
        <w:tc>
          <w:tcPr>
            <w:tcW w:w="41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流动性资产占比（%）</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color w:val="000000"/>
                <w:sz w:val="20"/>
                <w:lang w:eastAsia="zh-CN"/>
              </w:rPr>
            </w:pPr>
            <w:r>
              <w:rPr>
                <w:rFonts w:hint="default"/>
                <w:color w:val="000000"/>
                <w:sz w:val="20"/>
                <w:lang w:eastAsia="zh-CN"/>
              </w:rPr>
              <w:t xml:space="preserve"> 5,252,295.29 </w:t>
            </w:r>
          </w:p>
        </w:tc>
        <w:tc>
          <w:tcPr>
            <w:tcW w:w="34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color w:val="000000"/>
                <w:sz w:val="20"/>
                <w:lang w:eastAsia="zh-CN"/>
              </w:rPr>
            </w:pPr>
            <w:r>
              <w:rPr>
                <w:rFonts w:hint="default"/>
                <w:color w:val="000000"/>
                <w:sz w:val="20"/>
                <w:lang w:eastAsia="zh-CN"/>
              </w:rPr>
              <w:t>1,300,873,312.43</w:t>
            </w:r>
          </w:p>
        </w:tc>
        <w:tc>
          <w:tcPr>
            <w:tcW w:w="41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0.4</w:t>
            </w:r>
            <w:r>
              <w:rPr>
                <w:rFonts w:hint="eastAsia"/>
                <w:color w:val="000000"/>
                <w:sz w:val="20"/>
                <w:lang w:val="en-US" w:eastAsia="zh-CN"/>
              </w:rPr>
              <w:t>0</w:t>
            </w:r>
            <w:r>
              <w:rPr>
                <w:color w:val="000000"/>
                <w:sz w:val="20"/>
              </w:rPr>
              <w:t>%</w:t>
            </w:r>
            <w:bookmarkStart w:id="2" w:name="_GoBack"/>
            <w:bookmarkEnd w:id="2"/>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305" w:hRule="exact"/>
        </w:trPr>
        <w:tc>
          <w:tcPr>
            <w:tcW w:w="1" w:type="dxa"/>
            <w:vAlign w:val="top"/>
          </w:tcPr>
          <w:p>
            <w:pPr>
              <w:pStyle w:val="4"/>
            </w:pPr>
          </w:p>
        </w:tc>
        <w:tc>
          <w:tcPr>
            <w:tcW w:w="800" w:type="dxa"/>
            <w:vAlign w:val="top"/>
          </w:tcPr>
          <w:p>
            <w:pPr>
              <w:pStyle w:val="4"/>
            </w:pPr>
          </w:p>
        </w:tc>
        <w:tc>
          <w:tcPr>
            <w:tcW w:w="2000" w:type="dxa"/>
            <w:gridSpan w:val="2"/>
            <w:vAlign w:val="top"/>
          </w:tcPr>
          <w:p>
            <w:pPr>
              <w:pStyle w:val="4"/>
            </w:pPr>
          </w:p>
        </w:tc>
        <w:tc>
          <w:tcPr>
            <w:tcW w:w="400" w:type="dxa"/>
            <w:vAlign w:val="top"/>
          </w:tcPr>
          <w:p>
            <w:pPr>
              <w:pStyle w:val="4"/>
            </w:pPr>
          </w:p>
        </w:tc>
        <w:tc>
          <w:tcPr>
            <w:tcW w:w="1800" w:type="dxa"/>
            <w:gridSpan w:val="6"/>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1200" w:hRule="exact"/>
        </w:trPr>
        <w:tc>
          <w:tcPr>
            <w:tcW w:w="1" w:type="dxa"/>
            <w:vAlign w:val="top"/>
          </w:tcPr>
          <w:p>
            <w:pPr>
              <w:pStyle w:val="4"/>
            </w:pPr>
          </w:p>
        </w:tc>
        <w:tc>
          <w:tcPr>
            <w:tcW w:w="10720" w:type="dxa"/>
            <w:gridSpan w:val="17"/>
            <w:tcMar>
              <w:top w:w="0" w:type="dxa"/>
              <w:left w:w="0" w:type="dxa"/>
              <w:bottom w:w="0" w:type="dxa"/>
              <w:right w:w="0" w:type="dxa"/>
            </w:tcMar>
            <w:vAlign w:val="center"/>
          </w:tcPr>
          <w:p>
            <w:pPr>
              <w:spacing w:before="0" w:after="0" w:line="360" w:lineRule="auto"/>
            </w:pPr>
            <w:r>
              <w:rPr>
                <w:color w:val="000000"/>
                <w:sz w:val="20"/>
              </w:rPr>
              <w:t xml:space="preserve">    </w:t>
            </w:r>
            <w:r>
              <w:rPr>
                <w:rFonts w:hint="eastAsia"/>
                <w:color w:val="000000"/>
                <w:sz w:val="20"/>
              </w:rPr>
              <w:t>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r>
              <w:rPr>
                <w:color w:val="000000"/>
                <w:sz w:val="20"/>
              </w:rPr>
              <w:t>。</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0" w:type="dxa"/>
          <w:trHeight w:val="400" w:hRule="exact"/>
        </w:trPr>
        <w:tc>
          <w:tcPr>
            <w:tcW w:w="1" w:type="dxa"/>
            <w:vAlign w:val="top"/>
          </w:tcPr>
          <w:p>
            <w:pPr>
              <w:pStyle w:val="4"/>
            </w:pPr>
          </w:p>
        </w:tc>
        <w:tc>
          <w:tcPr>
            <w:tcW w:w="800" w:type="dxa"/>
            <w:vAlign w:val="top"/>
          </w:tcPr>
          <w:p>
            <w:pPr>
              <w:pStyle w:val="4"/>
            </w:pPr>
          </w:p>
        </w:tc>
        <w:tc>
          <w:tcPr>
            <w:tcW w:w="2000" w:type="dxa"/>
            <w:gridSpan w:val="2"/>
            <w:vAlign w:val="top"/>
          </w:tcPr>
          <w:p>
            <w:pPr>
              <w:pStyle w:val="4"/>
            </w:pPr>
          </w:p>
        </w:tc>
        <w:tc>
          <w:tcPr>
            <w:tcW w:w="400" w:type="dxa"/>
            <w:vAlign w:val="top"/>
          </w:tcPr>
          <w:p>
            <w:pPr>
              <w:pStyle w:val="4"/>
            </w:pPr>
          </w:p>
        </w:tc>
        <w:tc>
          <w:tcPr>
            <w:tcW w:w="1800" w:type="dxa"/>
            <w:gridSpan w:val="6"/>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236" w:type="dxa"/>
            <w:gridSpan w:val="2"/>
            <w:vAlign w:val="top"/>
          </w:tcPr>
          <w:p>
            <w:pPr>
              <w:pStyle w:val="4"/>
            </w:pP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pPr>
              <w:spacing w:before="0" w:after="0" w:line="360" w:lineRule="auto"/>
            </w:pPr>
            <w:r>
              <w:rPr>
                <w:color w:val="000000"/>
                <w:sz w:val="20"/>
              </w:rPr>
              <w:t xml:space="preserve">  </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color w:val="000000"/>
                <w:sz w:val="20"/>
              </w:rPr>
              <w:t xml:space="preserve">                  </w:t>
            </w:r>
          </w:p>
        </w:tc>
        <w:tc>
          <w:tcPr>
            <w:tcW w:w="86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36" w:type="dxa"/>
          <w:trHeight w:val="400" w:hRule="exact"/>
        </w:trPr>
        <w:tc>
          <w:tcPr>
            <w:tcW w:w="1" w:type="dxa"/>
            <w:vAlign w:val="top"/>
          </w:tcPr>
          <w:p>
            <w:pPr>
              <w:pStyle w:val="4"/>
            </w:pPr>
          </w:p>
        </w:tc>
        <w:tc>
          <w:tcPr>
            <w:tcW w:w="10720" w:type="dxa"/>
            <w:gridSpan w:val="17"/>
            <w:tcMar>
              <w:top w:w="0" w:type="dxa"/>
              <w:left w:w="0" w:type="dxa"/>
              <w:bottom w:w="0" w:type="dxa"/>
              <w:right w:w="0" w:type="dxa"/>
            </w:tcMar>
            <w:vAlign w:val="top"/>
          </w:tcPr>
          <w:p>
            <w:pPr>
              <w:spacing w:before="0" w:after="0" w:line="360" w:lineRule="auto"/>
              <w:jc w:val="right"/>
            </w:pPr>
            <w:r>
              <w:rPr>
                <w:color w:val="000000"/>
                <w:sz w:val="20"/>
              </w:rPr>
              <w:t>2020年03月31日</w:t>
            </w:r>
          </w:p>
        </w:tc>
        <w:tc>
          <w:tcPr>
            <w:tcW w:w="860" w:type="dxa"/>
            <w:gridSpan w:val="3"/>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原版宋体">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00"/>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4BF3DC8"/>
    <w:rsid w:val="1A370D56"/>
    <w:rsid w:val="1B287C7C"/>
    <w:rsid w:val="28FC5AA5"/>
    <w:rsid w:val="2A763E7C"/>
    <w:rsid w:val="38EF5C53"/>
    <w:rsid w:val="39B57661"/>
    <w:rsid w:val="3F9B200C"/>
    <w:rsid w:val="47682C5B"/>
    <w:rsid w:val="71174986"/>
    <w:rsid w:val="7CFA2CF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uiPriority w:val="0"/>
    <w:rPr>
      <w:rFonts w:ascii="Times New Roman" w:hAnsi="Times New Roman" w:eastAsia="宋体" w:cs="Times New Roman"/>
      <w:color w:val="000000"/>
      <w:sz w:val="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2020-04-03T19:30:00Z</dcterms:created>
  <dc:creator>zrc</dc:creator>
  <cp:lastModifiedBy>宋芳玉</cp:lastModifiedBy>
  <dcterms:modified xsi:type="dcterms:W3CDTF">2020-04-14T02:33:53Z</dcterms:modified>
  <dc:title>“金港湾瑞享6号6+”定期报告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