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200"/>
        <w:gridCol w:w="200"/>
        <w:gridCol w:w="400"/>
        <w:gridCol w:w="20"/>
        <w:gridCol w:w="980"/>
        <w:gridCol w:w="1600"/>
        <w:gridCol w:w="400"/>
        <w:gridCol w:w="400"/>
        <w:gridCol w:w="220"/>
        <w:gridCol w:w="1380"/>
        <w:gridCol w:w="1600"/>
        <w:gridCol w:w="100"/>
        <w:gridCol w:w="20"/>
        <w:gridCol w:w="70"/>
        <w:gridCol w:w="710"/>
        <w:gridCol w:w="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0" w:hRule="atLeast"/>
        </w:trPr>
        <w:tc>
          <w:tcPr>
            <w:tcW w:w="1" w:type="dxa"/>
            <w:vAlign w:val="top"/>
          </w:tcPr>
          <w:p>
            <w:pPr>
              <w:pStyle w:val="4"/>
            </w:pPr>
            <w:bookmarkStart w:id="0" w:name="JR_PAGE_ANCHOR_0_1"/>
            <w:bookmarkEnd w:id="0"/>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18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9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w:t>
            </w:r>
            <w:r>
              <w:rPr>
                <w:rFonts w:hint="eastAsia" w:ascii="原版宋体" w:hAnsi="原版宋体" w:eastAsia="原版宋体" w:cs="原版宋体"/>
                <w:color w:val="000000"/>
                <w:sz w:val="20"/>
                <w:lang w:eastAsia="zh-CN"/>
              </w:rPr>
              <w:t>江苏张家港农村商业银行股份有限公司</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rPr>
                <w:rFonts w:hint="eastAsia" w:eastAsia="原版宋体"/>
                <w:lang w:val="en-US" w:eastAsia="zh-CN"/>
              </w:rPr>
            </w:pPr>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宁波银行股份有限公司</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发布时间：2020年03月31日</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本报告期自2020年01月01日起至03月31日止。</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700" w:hRule="exact"/>
        </w:trPr>
        <w:tc>
          <w:tcPr>
            <w:tcW w:w="1" w:type="dxa"/>
            <w:vAlign w:val="top"/>
          </w:tcPr>
          <w:p>
            <w:pPr>
              <w:pStyle w:val="4"/>
            </w:pPr>
          </w:p>
        </w:tc>
        <w:tc>
          <w:tcPr>
            <w:tcW w:w="3400" w:type="dxa"/>
            <w:gridSpan w:val="4"/>
            <w:vAlign w:val="top"/>
          </w:tcPr>
          <w:p>
            <w:pPr>
              <w:pStyle w:val="4"/>
            </w:pPr>
          </w:p>
        </w:tc>
        <w:tc>
          <w:tcPr>
            <w:tcW w:w="200" w:type="dxa"/>
            <w:vAlign w:val="top"/>
          </w:tcPr>
          <w:p>
            <w:pPr>
              <w:pStyle w:val="4"/>
            </w:pPr>
          </w:p>
        </w:tc>
        <w:tc>
          <w:tcPr>
            <w:tcW w:w="7100" w:type="dxa"/>
            <w:gridSpan w:val="10"/>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78"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1,843,932,000.00</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660" w:hRule="exact"/>
        </w:trPr>
        <w:tc>
          <w:tcPr>
            <w:tcW w:w="1" w:type="dxa"/>
            <w:vAlign w:val="top"/>
          </w:tcPr>
          <w:p>
            <w:pPr>
              <w:pStyle w:val="4"/>
            </w:pPr>
          </w:p>
        </w:tc>
        <w:tc>
          <w:tcPr>
            <w:tcW w:w="800" w:type="dxa"/>
            <w:vAlign w:val="top"/>
          </w:tcPr>
          <w:p>
            <w:pPr>
              <w:pStyle w:val="4"/>
            </w:pPr>
          </w:p>
        </w:tc>
        <w:tc>
          <w:tcPr>
            <w:tcW w:w="2600" w:type="dxa"/>
            <w:gridSpan w:val="3"/>
            <w:vAlign w:val="top"/>
          </w:tcPr>
          <w:p>
            <w:pPr>
              <w:pStyle w:val="4"/>
            </w:pPr>
          </w:p>
        </w:tc>
        <w:tc>
          <w:tcPr>
            <w:tcW w:w="600" w:type="dxa"/>
            <w:gridSpan w:val="2"/>
            <w:vAlign w:val="top"/>
          </w:tcPr>
          <w:p>
            <w:pPr>
              <w:pStyle w:val="4"/>
            </w:pPr>
          </w:p>
        </w:tc>
        <w:tc>
          <w:tcPr>
            <w:tcW w:w="20" w:type="dxa"/>
            <w:vAlign w:val="top"/>
          </w:tcPr>
          <w:p>
            <w:pPr>
              <w:pStyle w:val="4"/>
            </w:pPr>
          </w:p>
        </w:tc>
        <w:tc>
          <w:tcPr>
            <w:tcW w:w="3380" w:type="dxa"/>
            <w:gridSpan w:val="4"/>
            <w:vAlign w:val="top"/>
          </w:tcPr>
          <w:p>
            <w:pPr>
              <w:pStyle w:val="4"/>
            </w:pPr>
          </w:p>
        </w:tc>
        <w:tc>
          <w:tcPr>
            <w:tcW w:w="220" w:type="dxa"/>
            <w:vAlign w:val="top"/>
          </w:tcPr>
          <w:p>
            <w:pPr>
              <w:pStyle w:val="4"/>
            </w:pPr>
          </w:p>
        </w:tc>
        <w:tc>
          <w:tcPr>
            <w:tcW w:w="3080" w:type="dxa"/>
            <w:gridSpan w:val="3"/>
            <w:vAlign w:val="top"/>
          </w:tcPr>
          <w:p>
            <w:pPr>
              <w:pStyle w:val="4"/>
            </w:pP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3</w:t>
            </w:r>
            <w:r>
              <w:rPr>
                <w:rFonts w:ascii="原版宋体" w:hAnsi="原版宋体" w:eastAsia="原版宋体" w:cs="原版宋体"/>
                <w:b/>
                <w:color w:val="000000"/>
                <w:sz w:val="20"/>
              </w:rPr>
              <w:t xml:space="preserve">  投资组合报告</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.1 报告期末产品资产组合情况</w:t>
            </w:r>
          </w:p>
          <w:p>
            <w:pPr>
              <w:spacing w:before="0" w:after="0" w:line="360" w:lineRule="auto"/>
            </w:pP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 xml:space="preserve"> 2,104,890,397.78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w:t>
            </w:r>
            <w:r>
              <w:rPr>
                <w:rFonts w:hint="eastAsia" w:ascii="原版宋体" w:hAnsi="原版宋体" w:eastAsia="原版宋体" w:cs="原版宋体"/>
                <w:color w:val="000000"/>
                <w:sz w:val="20"/>
                <w:lang w:val="en-US" w:eastAsia="zh-CN"/>
              </w:rPr>
              <w:t>4</w:t>
            </w:r>
            <w:r>
              <w:rPr>
                <w:rFonts w:ascii="原版宋体" w:hAnsi="原版宋体" w:eastAsia="原版宋体" w:cs="原版宋体"/>
                <w:color w:val="000000"/>
                <w:sz w:val="20"/>
              </w:rPr>
              <w:t>%</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highlight w:val="none"/>
              </w:rPr>
              <w:t>其中</w:t>
            </w:r>
            <w:r>
              <w:rPr>
                <w:rFonts w:hint="eastAsia" w:ascii="原版宋体" w:hAnsi="原版宋体" w:eastAsia="原版宋体" w:cs="原版宋体"/>
                <w:color w:val="000000"/>
                <w:sz w:val="20"/>
                <w:highlight w:val="none"/>
                <w:lang w:val="en-US" w:eastAsia="zh-CN"/>
              </w:rPr>
              <w:t>:银行间/交易所产品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 xml:space="preserve"> 2,104,890,397.78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98.9</w:t>
            </w:r>
            <w:r>
              <w:rPr>
                <w:rFonts w:hint="eastAsia" w:ascii="原版宋体" w:hAnsi="原版宋体" w:eastAsia="原版宋体" w:cs="原版宋体"/>
                <w:color w:val="000000"/>
                <w:sz w:val="20"/>
                <w:lang w:val="en-US" w:eastAsia="zh-CN"/>
              </w:rPr>
              <w:t>4</w:t>
            </w:r>
            <w:r>
              <w:rPr>
                <w:rFonts w:ascii="原版宋体" w:hAnsi="原版宋体" w:eastAsia="原版宋体" w:cs="原版宋体"/>
                <w:color w:val="000000"/>
                <w:sz w:val="20"/>
              </w:rPr>
              <w:t>%</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highlight w:val="none"/>
              </w:rPr>
              <w:t xml:space="preserve">      </w:t>
            </w:r>
            <w:r>
              <w:rPr>
                <w:rFonts w:hint="eastAsia" w:ascii="原版宋体" w:hAnsi="原版宋体" w:eastAsia="原版宋体" w:cs="原版宋体"/>
                <w:color w:val="000000"/>
                <w:sz w:val="20"/>
                <w:highlight w:val="none"/>
                <w:lang w:eastAsia="zh-CN"/>
              </w:rPr>
              <w:t>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highlight w:val="none"/>
                <w:lang w:val="en-US" w:eastAsia="zh-CN"/>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 xml:space="preserve"> 22,444,555.70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ascii="原版宋体" w:hAnsi="原版宋体" w:eastAsia="原版宋体" w:cs="原版宋体"/>
                <w:color w:val="000000"/>
                <w:sz w:val="20"/>
              </w:rPr>
            </w:pPr>
            <w:r>
              <w:rPr>
                <w:rFonts w:ascii="原版宋体" w:hAnsi="原版宋体" w:eastAsia="原版宋体" w:cs="原版宋体"/>
                <w:color w:val="000000"/>
                <w:sz w:val="20"/>
              </w:rPr>
              <w:t>1.0</w:t>
            </w:r>
            <w:r>
              <w:rPr>
                <w:rFonts w:hint="eastAsia" w:ascii="原版宋体" w:hAnsi="原版宋体" w:eastAsia="原版宋体" w:cs="原版宋体"/>
                <w:color w:val="000000"/>
                <w:sz w:val="20"/>
                <w:lang w:val="en-US" w:eastAsia="zh-CN"/>
              </w:rPr>
              <w:t>6</w:t>
            </w:r>
            <w:r>
              <w:rPr>
                <w:rFonts w:ascii="原版宋体" w:hAnsi="原版宋体" w:eastAsia="原版宋体" w:cs="原版宋体"/>
                <w:color w:val="000000"/>
                <w:sz w:val="20"/>
              </w:rPr>
              <w:t>%</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p>
            <w:pPr>
              <w:jc w:val="left"/>
            </w:pPr>
            <w:r>
              <w:rPr>
                <w:rFonts w:hint="eastAsia" w:ascii="原版宋体" w:hAnsi="原版宋体" w:eastAsia="原版宋体" w:cs="原版宋体"/>
                <w:color w:val="000000"/>
                <w:sz w:val="20"/>
                <w:lang w:val="en-US" w:eastAsia="zh-CN"/>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0.00</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ascii="原版宋体" w:hAnsi="原版宋体" w:eastAsia="原版宋体" w:cs="原版宋体"/>
                <w:color w:val="000000"/>
                <w:sz w:val="20"/>
              </w:rPr>
            </w:pPr>
            <w:r>
              <w:rPr>
                <w:rFonts w:ascii="原版宋体" w:hAnsi="原版宋体" w:eastAsia="原版宋体" w:cs="原版宋体"/>
                <w:color w:val="000000"/>
                <w:sz w:val="20"/>
              </w:rPr>
              <w:t>0.00%</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pStyle w:val="4"/>
            </w:pPr>
          </w:p>
          <w:p>
            <w:pPr>
              <w:jc w:val="left"/>
            </w:pPr>
            <w:r>
              <w:rPr>
                <w:rFonts w:hint="eastAsia" w:ascii="原版宋体" w:hAnsi="原版宋体" w:eastAsia="原版宋体" w:cs="原版宋体"/>
                <w:color w:val="000000"/>
                <w:sz w:val="20"/>
                <w:lang w:val="en-US" w:eastAsia="zh-CN"/>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bottom"/>
          </w:tcPr>
          <w:p>
            <w:pPr>
              <w:ind w:right="160"/>
              <w:jc w:val="right"/>
              <w:rPr>
                <w:rFonts w:hint="default" w:ascii="原版宋体" w:hAnsi="原版宋体" w:eastAsia="原版宋体" w:cs="原版宋体"/>
                <w:color w:val="000000"/>
                <w:sz w:val="20"/>
                <w:lang w:val="en-US" w:eastAsia="zh-CN"/>
              </w:rPr>
            </w:pPr>
            <w:r>
              <w:rPr>
                <w:rFonts w:hint="default" w:ascii="原版宋体" w:hAnsi="原版宋体" w:eastAsia="原版宋体" w:cs="原版宋体"/>
                <w:color w:val="000000"/>
                <w:sz w:val="20"/>
                <w:lang w:val="en-US" w:eastAsia="zh-CN"/>
              </w:rPr>
              <w:t xml:space="preserve"> 2,127,334,953.48 </w:t>
            </w:r>
          </w:p>
        </w:tc>
        <w:tc>
          <w:tcPr>
            <w:tcW w:w="33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ascii="原版宋体" w:hAnsi="原版宋体" w:eastAsia="原版宋体" w:cs="原版宋体"/>
                <w:color w:val="000000"/>
                <w:sz w:val="20"/>
              </w:rPr>
            </w:pPr>
            <w:r>
              <w:rPr>
                <w:rFonts w:ascii="原版宋体" w:hAnsi="原版宋体" w:eastAsia="原版宋体" w:cs="原版宋体"/>
                <w:color w:val="000000"/>
                <w:sz w:val="20"/>
              </w:rPr>
              <w:t>100.00%</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42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.2 报告期末按债券品种分类的债券投资组合</w:t>
            </w:r>
          </w:p>
        </w:tc>
        <w:tc>
          <w:tcPr>
            <w:tcW w:w="90" w:type="dxa"/>
            <w:gridSpan w:val="2"/>
            <w:vAlign w:val="top"/>
          </w:tcPr>
          <w:p>
            <w:pPr>
              <w:pStyle w:val="4"/>
            </w:pP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比例（%）</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398"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636,358,301.19</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29.91%</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101,320,855.95</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4.76%</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971,519,805.87</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45.67%</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352,736,701.79</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16.58%</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0</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0.00%</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144,275,588.93</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6.78%</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widowControl/>
              <w:jc w:val="right"/>
              <w:textAlignment w:val="center"/>
              <w:rPr>
                <w:rFonts w:hint="default" w:ascii="原版宋体" w:hAnsi="原版宋体" w:eastAsia="原版宋体" w:cs="原版宋体"/>
                <w:color w:val="auto"/>
                <w:sz w:val="20"/>
                <w:lang w:val="en-US" w:eastAsia="zh-CN"/>
              </w:rPr>
            </w:pPr>
            <w:r>
              <w:rPr>
                <w:rFonts w:hint="default" w:ascii="原版宋体" w:hAnsi="原版宋体" w:eastAsia="原版宋体" w:cs="原版宋体"/>
                <w:i w:val="0"/>
                <w:color w:val="auto"/>
                <w:kern w:val="0"/>
                <w:sz w:val="20"/>
                <w:szCs w:val="20"/>
                <w:u w:val="none"/>
                <w:lang w:val="en-US" w:eastAsia="zh-CN"/>
              </w:rPr>
              <w:t>2,104,890,397.78</w:t>
            </w:r>
          </w:p>
        </w:tc>
        <w:tc>
          <w:tcPr>
            <w:tcW w:w="3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rPr>
                <w:rFonts w:hint="default" w:ascii="原版宋体" w:hAnsi="原版宋体" w:eastAsia="原版宋体" w:cs="原版宋体"/>
                <w:color w:val="000000"/>
                <w:sz w:val="20"/>
                <w:lang w:val="en-US" w:eastAsia="zh-CN"/>
              </w:rPr>
            </w:pPr>
            <w:r>
              <w:rPr>
                <w:rFonts w:hint="eastAsia" w:ascii="原版宋体" w:hAnsi="原版宋体" w:eastAsia="原版宋体" w:cs="原版宋体"/>
                <w:color w:val="000000"/>
                <w:sz w:val="20"/>
                <w:lang w:val="en-US" w:eastAsia="zh-CN"/>
              </w:rPr>
              <w:t>98.94%</w:t>
            </w:r>
          </w:p>
        </w:tc>
        <w:tc>
          <w:tcPr>
            <w:tcW w:w="780" w:type="dxa"/>
            <w:gridSpan w:val="2"/>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bookmarkStart w:id="1" w:name="JR_PAGE_ANCHOR_0_3"/>
            <w:bookmarkEnd w:id="1"/>
          </w:p>
        </w:tc>
        <w:tc>
          <w:tcPr>
            <w:tcW w:w="10600" w:type="dxa"/>
            <w:gridSpan w:val="14"/>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0" w:hRule="exact"/>
        </w:trPr>
        <w:tc>
          <w:tcPr>
            <w:tcW w:w="1" w:type="dxa"/>
            <w:vAlign w:val="top"/>
          </w:tcPr>
          <w:p>
            <w:pPr>
              <w:pStyle w:val="4"/>
            </w:pPr>
          </w:p>
        </w:tc>
        <w:tc>
          <w:tcPr>
            <w:tcW w:w="10600" w:type="dxa"/>
            <w:gridSpan w:val="14"/>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.3 报告期末按市值占产品资产净值比例大小排名的前十名资产投资明细</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6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占资产</w:t>
            </w:r>
            <w:r>
              <w:rPr>
                <w:rFonts w:hint="eastAsia" w:ascii="原版宋体" w:hAnsi="原版宋体" w:eastAsia="原版宋体" w:cs="原版宋体"/>
                <w:b/>
                <w:color w:val="000000"/>
                <w:sz w:val="20"/>
                <w:lang w:eastAsia="zh-CN"/>
              </w:rPr>
              <w:t>组合</w:t>
            </w:r>
            <w:r>
              <w:rPr>
                <w:rFonts w:ascii="原版宋体" w:hAnsi="原版宋体" w:eastAsia="原版宋体" w:cs="原版宋体"/>
                <w:b/>
                <w:color w:val="000000"/>
                <w:sz w:val="20"/>
              </w:rPr>
              <w:t>净值比例（％）</w:t>
            </w:r>
          </w:p>
          <w:p>
            <w:pPr>
              <w:jc w:val="center"/>
            </w:pP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031651001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16豫高管PPN001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101,536,761.06</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5.51%</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190211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19国开11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ascii="原版宋体" w:hAnsi="原版宋体" w:eastAsia="原版宋体" w:cs="原版宋体"/>
                <w:color w:val="000000"/>
                <w:sz w:val="20"/>
              </w:rPr>
              <w:t>101,320,</w:t>
            </w:r>
            <w:r>
              <w:rPr>
                <w:rFonts w:hint="eastAsia" w:ascii="原版宋体" w:hAnsi="原版宋体" w:eastAsia="原版宋体" w:cs="原版宋体"/>
                <w:color w:val="000000"/>
                <w:sz w:val="20"/>
                <w:lang w:val="en-US" w:eastAsia="zh-CN"/>
              </w:rPr>
              <w:t>855</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95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5.49%</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112009030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20浦发银行CD030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97,607,711.98</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5.29%</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165602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恒信21A1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91,068,921.64</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4.94%</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072000002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20中信建投CP001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80,524,470.57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4.37%</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135721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16汾湖投</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ascii="原版宋体" w:hAnsi="原版宋体" w:eastAsia="原版宋体" w:cs="原版宋体"/>
                <w:color w:val="000000"/>
                <w:sz w:val="20"/>
              </w:rPr>
              <w:t>62,396,</w:t>
            </w:r>
            <w:r>
              <w:rPr>
                <w:rFonts w:hint="eastAsia" w:ascii="原版宋体" w:hAnsi="原版宋体" w:eastAsia="原版宋体" w:cs="原版宋体"/>
                <w:color w:val="000000"/>
                <w:sz w:val="20"/>
                <w:lang w:val="en-US" w:eastAsia="zh-CN"/>
              </w:rPr>
              <w:t>660</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22</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3.38%</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011902616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19赣粤SCP006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60,566,114.67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3.28%</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145659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17宁化02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ascii="原版宋体" w:hAnsi="原版宋体" w:eastAsia="原版宋体" w:cs="原版宋体"/>
                <w:color w:val="000000"/>
                <w:sz w:val="20"/>
              </w:rPr>
              <w:t>52,178,8</w:t>
            </w:r>
            <w:r>
              <w:rPr>
                <w:rFonts w:hint="eastAsia" w:ascii="原版宋体" w:hAnsi="原版宋体" w:eastAsia="原版宋体" w:cs="原版宋体"/>
                <w:color w:val="000000"/>
                <w:sz w:val="20"/>
                <w:lang w:val="en-US" w:eastAsia="zh-CN"/>
              </w:rPr>
              <w:t>59</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15</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2.83%</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135678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16盛泽02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ascii="原版宋体" w:hAnsi="原版宋体" w:eastAsia="原版宋体" w:cs="原版宋体"/>
                <w:color w:val="000000"/>
                <w:sz w:val="20"/>
              </w:rPr>
              <w:t>51,994,</w:t>
            </w:r>
            <w:r>
              <w:rPr>
                <w:rFonts w:hint="eastAsia" w:ascii="原版宋体" w:hAnsi="原版宋体" w:eastAsia="原版宋体" w:cs="原版宋体"/>
                <w:color w:val="000000"/>
                <w:sz w:val="20"/>
                <w:lang w:val="en-US" w:eastAsia="zh-CN"/>
              </w:rPr>
              <w:t>651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16</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2.82%</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500" w:hRule="exact"/>
        </w:trPr>
        <w:tc>
          <w:tcPr>
            <w:tcW w:w="1" w:type="dxa"/>
            <w:vAlign w:val="top"/>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091900016       </w:t>
            </w:r>
          </w:p>
        </w:tc>
        <w:tc>
          <w:tcPr>
            <w:tcW w:w="22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19国泰君安金融债01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ascii="原版宋体" w:hAnsi="原版宋体" w:eastAsia="原版宋体" w:cs="原版宋体"/>
                <w:color w:val="000000"/>
                <w:sz w:val="20"/>
              </w:rPr>
              <w:t>51,15</w:t>
            </w:r>
            <w:r>
              <w:rPr>
                <w:rFonts w:hint="eastAsia" w:ascii="原版宋体" w:hAnsi="原版宋体" w:eastAsia="原版宋体" w:cs="原版宋体"/>
                <w:color w:val="000000"/>
                <w:sz w:val="20"/>
                <w:lang w:val="en-US" w:eastAsia="zh-CN"/>
              </w:rPr>
              <w:t>1</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177</w:t>
            </w:r>
            <w:r>
              <w:rPr>
                <w:rFonts w:ascii="原版宋体" w:hAnsi="原版宋体" w:eastAsia="原版宋体" w:cs="原版宋体"/>
                <w:color w:val="000000"/>
                <w:sz w:val="20"/>
              </w:rPr>
              <w:t>.</w:t>
            </w:r>
            <w:r>
              <w:rPr>
                <w:rFonts w:hint="eastAsia" w:ascii="原版宋体" w:hAnsi="原版宋体" w:eastAsia="原版宋体" w:cs="原版宋体"/>
                <w:color w:val="000000"/>
                <w:sz w:val="20"/>
                <w:lang w:val="en-US" w:eastAsia="zh-CN"/>
              </w:rPr>
              <w:t>27</w:t>
            </w:r>
          </w:p>
        </w:tc>
        <w:tc>
          <w:tcPr>
            <w:tcW w:w="16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ascii="原版宋体" w:hAnsi="原版宋体" w:eastAsia="原版宋体" w:cs="原版宋体"/>
                <w:color w:val="000000"/>
                <w:sz w:val="20"/>
              </w:rPr>
            </w:pPr>
            <w:r>
              <w:rPr>
                <w:rFonts w:hint="default" w:ascii="原版宋体" w:hAnsi="原版宋体" w:eastAsia="原版宋体" w:cs="原版宋体"/>
                <w:color w:val="000000"/>
                <w:sz w:val="20"/>
                <w:lang w:val="en-US" w:eastAsia="zh-CN"/>
              </w:rPr>
              <w:t>2.77%</w:t>
            </w: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380"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color w:val="000000"/>
                <w:sz w:val="20"/>
                <w:lang w:val="en-US" w:eastAsia="zh-CN"/>
              </w:rPr>
              <w:t>3</w:t>
            </w:r>
            <w:r>
              <w:rPr>
                <w:rFonts w:ascii="原版宋体" w:hAnsi="原版宋体" w:eastAsia="原版宋体" w:cs="原版宋体"/>
                <w:color w:val="000000"/>
                <w:sz w:val="20"/>
              </w:rPr>
              <w:t>.4 报告期末</w:t>
            </w:r>
            <w:r>
              <w:rPr>
                <w:rFonts w:hint="eastAsia" w:ascii="原版宋体" w:hAnsi="原版宋体" w:eastAsia="原版宋体" w:cs="原版宋体"/>
                <w:color w:val="000000"/>
                <w:sz w:val="20"/>
                <w:lang w:eastAsia="zh-CN"/>
              </w:rPr>
              <w:t>资产</w:t>
            </w:r>
            <w:r>
              <w:rPr>
                <w:rFonts w:ascii="原版宋体" w:hAnsi="原版宋体" w:eastAsia="原版宋体" w:cs="原版宋体"/>
                <w:color w:val="000000"/>
                <w:sz w:val="20"/>
              </w:rPr>
              <w:t>组合流动性风险分析</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default" w:ascii="原版宋体" w:hAnsi="原版宋体" w:eastAsia="原版宋体" w:cs="原版宋体"/>
                <w:color w:val="000000"/>
                <w:sz w:val="20"/>
                <w:highlight w:val="none"/>
                <w:lang w:val="en-US" w:eastAsia="zh-CN"/>
              </w:rPr>
              <w:t xml:space="preserve">123,765,411.65 </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1,843,932,000.00</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ascii="原版宋体" w:hAnsi="原版宋体" w:eastAsia="原版宋体" w:cs="原版宋体"/>
                <w:color w:val="000000"/>
                <w:sz w:val="20"/>
                <w:lang w:val="en-US" w:eastAsia="zh-CN"/>
              </w:rPr>
              <w:t>6.71</w:t>
            </w:r>
            <w:r>
              <w:rPr>
                <w:rFonts w:ascii="原版宋体" w:hAnsi="原版宋体" w:eastAsia="原版宋体" w:cs="原版宋体"/>
                <w:color w:val="000000"/>
                <w:sz w:val="20"/>
              </w:rPr>
              <w:t>%</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78" w:hRule="exact"/>
        </w:trPr>
        <w:tc>
          <w:tcPr>
            <w:tcW w:w="1" w:type="dxa"/>
            <w:vAlign w:val="top"/>
          </w:tcPr>
          <w:p>
            <w:pPr>
              <w:pStyle w:val="4"/>
            </w:pPr>
          </w:p>
        </w:tc>
        <w:tc>
          <w:tcPr>
            <w:tcW w:w="800" w:type="dxa"/>
            <w:vAlign w:val="top"/>
          </w:tcPr>
          <w:p>
            <w:pPr>
              <w:pStyle w:val="4"/>
            </w:pPr>
          </w:p>
        </w:tc>
        <w:tc>
          <w:tcPr>
            <w:tcW w:w="2000" w:type="dxa"/>
            <w:vAlign w:val="top"/>
          </w:tcPr>
          <w:p>
            <w:pPr>
              <w:pStyle w:val="4"/>
            </w:pPr>
          </w:p>
        </w:tc>
        <w:tc>
          <w:tcPr>
            <w:tcW w:w="400" w:type="dxa"/>
            <w:vAlign w:val="top"/>
          </w:tcPr>
          <w:p>
            <w:pPr>
              <w:pStyle w:val="4"/>
            </w:pPr>
          </w:p>
        </w:tc>
        <w:tc>
          <w:tcPr>
            <w:tcW w:w="1800" w:type="dxa"/>
            <w:gridSpan w:val="5"/>
            <w:vAlign w:val="top"/>
          </w:tcPr>
          <w:p>
            <w:pPr>
              <w:pStyle w:val="4"/>
            </w:pPr>
          </w:p>
        </w:tc>
        <w:tc>
          <w:tcPr>
            <w:tcW w:w="1600" w:type="dxa"/>
            <w:vAlign w:val="top"/>
          </w:tcPr>
          <w:p>
            <w:pPr>
              <w:pStyle w:val="4"/>
            </w:pPr>
          </w:p>
        </w:tc>
        <w:tc>
          <w:tcPr>
            <w:tcW w:w="400" w:type="dxa"/>
            <w:vAlign w:val="top"/>
          </w:tcPr>
          <w:p>
            <w:pPr>
              <w:pStyle w:val="4"/>
            </w:pPr>
          </w:p>
        </w:tc>
        <w:tc>
          <w:tcPr>
            <w:tcW w:w="2000" w:type="dxa"/>
            <w:gridSpan w:val="3"/>
            <w:vAlign w:val="top"/>
          </w:tcPr>
          <w:p>
            <w:pPr>
              <w:pStyle w:val="4"/>
            </w:pPr>
          </w:p>
        </w:tc>
        <w:tc>
          <w:tcPr>
            <w:tcW w:w="1600" w:type="dxa"/>
            <w:vAlign w:val="top"/>
          </w:tcPr>
          <w:p>
            <w:pPr>
              <w:pStyle w:val="4"/>
            </w:pPr>
          </w:p>
        </w:tc>
        <w:tc>
          <w:tcPr>
            <w:tcW w:w="100" w:type="dxa"/>
            <w:vAlign w:val="top"/>
          </w:tcPr>
          <w:p>
            <w:pPr>
              <w:pStyle w:val="4"/>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1075" w:hRule="exact"/>
        </w:trPr>
        <w:tc>
          <w:tcPr>
            <w:tcW w:w="1" w:type="dxa"/>
            <w:vAlign w:val="top"/>
          </w:tcPr>
          <w:p>
            <w:pPr>
              <w:pStyle w:val="4"/>
            </w:pPr>
          </w:p>
        </w:tc>
        <w:tc>
          <w:tcPr>
            <w:tcW w:w="10700" w:type="dxa"/>
            <w:gridSpan w:val="15"/>
            <w:tcMar>
              <w:top w:w="0" w:type="dxa"/>
              <w:left w:w="0" w:type="dxa"/>
              <w:bottom w:w="0" w:type="dxa"/>
              <w:right w:w="0" w:type="dxa"/>
            </w:tcMar>
            <w:vAlign w:val="center"/>
          </w:tcPr>
          <w:p>
            <w:pPr>
              <w:spacing w:before="0" w:after="0" w:line="360" w:lineRule="auto"/>
              <w:rPr>
                <w:highlight w:val="none"/>
              </w:rPr>
            </w:pPr>
            <w:r>
              <w:rPr>
                <w:rFonts w:ascii="原版宋体" w:hAnsi="原版宋体" w:eastAsia="原版宋体" w:cs="原版宋体"/>
                <w:color w:val="000000"/>
                <w:sz w:val="20"/>
                <w:highlight w:val="none"/>
              </w:rPr>
              <w:t xml:space="preserve">    </w:t>
            </w:r>
            <w:r>
              <w:rPr>
                <w:rFonts w:hint="eastAsia"/>
                <w:color w:val="000000"/>
                <w:sz w:val="20"/>
              </w:rPr>
              <w:t>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r>
              <w:rPr>
                <w:rFonts w:hint="eastAsia"/>
                <w:color w:val="000000"/>
                <w:sz w:val="20"/>
                <w:lang w:eastAsia="zh-CN"/>
              </w:rPr>
              <w:t>。</w:t>
            </w:r>
            <w:bookmarkStart w:id="2" w:name="_GoBack"/>
            <w:bookmarkEnd w:id="2"/>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275"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pP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25"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hint="eastAsia" w:ascii="原版宋体" w:hAnsi="原版宋体" w:eastAsia="原版宋体" w:cs="原版宋体"/>
                <w:color w:val="000000"/>
                <w:sz w:val="20"/>
                <w:lang w:eastAsia="zh-CN"/>
              </w:rPr>
              <w:t>江苏张家港农村商业银行股份有限公司</w:t>
            </w:r>
            <w:r>
              <w:rPr>
                <w:rFonts w:ascii="原版宋体" w:hAnsi="原版宋体" w:eastAsia="原版宋体" w:cs="原版宋体"/>
                <w:color w:val="000000"/>
                <w:sz w:val="20"/>
              </w:rPr>
              <w:t xml:space="preserve">                  </w:t>
            </w:r>
          </w:p>
        </w:tc>
        <w:tc>
          <w:tcPr>
            <w:tcW w:w="800" w:type="dxa"/>
            <w:gridSpan w:val="3"/>
            <w:vAlign w:val="top"/>
          </w:tcPr>
          <w:p>
            <w:pPr>
              <w:pStyle w:val="4"/>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gridAfter w:val="1"/>
          <w:wAfter w:w="70" w:type="dxa"/>
          <w:trHeight w:val="400" w:hRule="exact"/>
        </w:trPr>
        <w:tc>
          <w:tcPr>
            <w:tcW w:w="1" w:type="dxa"/>
            <w:vAlign w:val="top"/>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2020年03月31日</w:t>
            </w:r>
          </w:p>
        </w:tc>
        <w:tc>
          <w:tcPr>
            <w:tcW w:w="800" w:type="dxa"/>
            <w:gridSpan w:val="3"/>
            <w:vAlign w:val="top"/>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800"/>
  <w:displayHorizontalDrawingGridEvery w:val="1"/>
  <w:displayVerticalDrawingGridEvery w:val="1"/>
  <w:noPunctuationKerning w:val="1"/>
  <w:characterSpacingControl w:val="compressPunctuation"/>
  <w:compat>
    <w:spaceForUL/>
    <w:doNotLeaveBackslashAlone/>
    <w:ulTrailSpace/>
    <w:doNotExpandShiftReturn/>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2D747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sz w:val="21"/>
      <w:szCs w:val="22"/>
      <w:lang w:val="en-US" w:eastAsia="zh-CN" w:bidi="ar-SA"/>
    </w:rPr>
  </w:style>
  <w:style w:type="character" w:default="1" w:styleId="3">
    <w:name w:val="Default Paragraph Fon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uiPriority w:val="0"/>
    <w:pPr>
      <w:spacing w:line="240" w:lineRule="auto"/>
    </w:pPr>
    <w:rPr>
      <w:rFonts w:ascii="SansSerif" w:hAnsi="SansSerif" w:eastAsia="SansSerif" w:cs="SansSerif"/>
      <w:color w:val="000000"/>
      <w:sz w:val="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2020-04-03T10:18:00Z</dcterms:created>
  <dc:creator>zrcbank</dc:creator>
  <cp:lastModifiedBy>宋芳玉</cp:lastModifiedBy>
  <dcterms:modified xsi:type="dcterms:W3CDTF">2020-04-13T09:07:58Z</dcterms:modified>
  <dc:title>宋芳玉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