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
        <w:gridCol w:w="800"/>
        <w:gridCol w:w="2000"/>
        <w:gridCol w:w="400"/>
        <w:gridCol w:w="200"/>
        <w:gridCol w:w="200"/>
        <w:gridCol w:w="400"/>
        <w:gridCol w:w="20"/>
        <w:gridCol w:w="980"/>
        <w:gridCol w:w="1600"/>
        <w:gridCol w:w="400"/>
        <w:gridCol w:w="400"/>
        <w:gridCol w:w="220"/>
        <w:gridCol w:w="1380"/>
        <w:gridCol w:w="1600"/>
        <w:gridCol w:w="120"/>
        <w:gridCol w:w="116"/>
        <w:gridCol w:w="120"/>
        <w:gridCol w:w="544"/>
        <w:gridCol w:w="116"/>
        <w:gridCol w:w="120"/>
      </w:tblGrid>
      <w:tr>
        <w:trPr>
          <w:gridAfter w:val="2"/>
          <w:wAfter w:w="236" w:type="dxa"/>
          <w:trHeight w:val="0" w:hRule="atLeast"/>
        </w:trPr>
        <w:tc>
          <w:tcPr>
            <w:tcW w:w="1" w:type="dxa"/>
            <w:vAlign w:val="top"/>
          </w:tcPr>
          <w:p>
            <w:pPr>
              <w:pStyle w:val="3"/>
            </w:pPr>
            <w:bookmarkStart w:id="0" w:name="JR_PAGE_ANCHOR_0_1"/>
            <w:bookmarkEnd w:id="0"/>
          </w:p>
        </w:tc>
        <w:tc>
          <w:tcPr>
            <w:tcW w:w="3400" w:type="dxa"/>
            <w:gridSpan w:val="4"/>
            <w:vAlign w:val="top"/>
          </w:tcPr>
          <w:p>
            <w:pPr>
              <w:pStyle w:val="3"/>
            </w:pPr>
          </w:p>
        </w:tc>
        <w:tc>
          <w:tcPr>
            <w:tcW w:w="200" w:type="dxa"/>
            <w:vAlign w:val="top"/>
          </w:tcPr>
          <w:p>
            <w:pPr>
              <w:pStyle w:val="3"/>
            </w:pPr>
          </w:p>
        </w:tc>
        <w:tc>
          <w:tcPr>
            <w:tcW w:w="7120" w:type="dxa"/>
            <w:gridSpan w:val="10"/>
            <w:vAlign w:val="top"/>
          </w:tcPr>
          <w:p>
            <w:pPr>
              <w:pStyle w:val="3"/>
            </w:pPr>
          </w:p>
        </w:tc>
        <w:tc>
          <w:tcPr>
            <w:tcW w:w="780" w:type="dxa"/>
            <w:gridSpan w:val="3"/>
            <w:vAlign w:val="top"/>
          </w:tcPr>
          <w:p>
            <w:pPr>
              <w:pStyle w:val="3"/>
            </w:pPr>
          </w:p>
        </w:tc>
      </w:tr>
      <w:tr>
        <w:trPr>
          <w:gridAfter w:val="2"/>
          <w:wAfter w:w="236" w:type="dxa"/>
          <w:trHeight w:val="117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240" w:lineRule="auto"/>
              <w:jc w:val="center"/>
            </w:pPr>
            <w:r>
              <w:rPr>
                <w:b/>
                <w:color w:val="000000"/>
                <w:sz w:val="40"/>
              </w:rPr>
              <w:t>“</w:t>
            </w:r>
            <w:r>
              <w:rPr>
                <w:rFonts w:hint="eastAsia"/>
                <w:b/>
                <w:color w:val="000000"/>
                <w:sz w:val="40"/>
                <w:lang w:eastAsia="zh-CN"/>
              </w:rPr>
              <w:t>金港湾</w:t>
            </w:r>
            <w:r>
              <w:rPr>
                <w:b/>
                <w:color w:val="000000"/>
                <w:sz w:val="40"/>
              </w:rPr>
              <w:t>悠享月开1号”定期报告</w:t>
            </w:r>
          </w:p>
        </w:tc>
        <w:tc>
          <w:tcPr>
            <w:tcW w:w="780" w:type="dxa"/>
            <w:gridSpan w:val="3"/>
            <w:vAlign w:val="top"/>
          </w:tcPr>
          <w:p>
            <w:pPr>
              <w:pStyle w:val="3"/>
            </w:pPr>
          </w:p>
        </w:tc>
      </w:tr>
      <w:tr>
        <w:trPr>
          <w:gridAfter w:val="2"/>
          <w:wAfter w:w="236" w:type="dxa"/>
          <w:trHeight w:val="145"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20" w:type="dxa"/>
            <w:gridSpan w:val="10"/>
            <w:vAlign w:val="top"/>
          </w:tcPr>
          <w:p>
            <w:pPr>
              <w:pStyle w:val="3"/>
            </w:pP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color w:val="000000"/>
                <w:sz w:val="20"/>
              </w:rPr>
              <w:t>产品托管人：</w:t>
            </w:r>
            <w:r>
              <w:rPr>
                <w:rFonts w:hint="eastAsia"/>
                <w:color w:val="000000"/>
                <w:sz w:val="20"/>
                <w:lang w:eastAsia="zh-CN"/>
              </w:rPr>
              <w:t>招商银行</w:t>
            </w:r>
            <w:r>
              <w:rPr>
                <w:rFonts w:hint="eastAsia"/>
                <w:color w:val="000000"/>
                <w:sz w:val="20"/>
                <w:lang w:val="en-US" w:eastAsia="zh-CN"/>
              </w:rPr>
              <w:t>股份有限公司</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color w:val="000000"/>
                <w:sz w:val="20"/>
              </w:rPr>
              <w:t>发布时间：2020年03月31日</w:t>
            </w:r>
          </w:p>
        </w:tc>
        <w:tc>
          <w:tcPr>
            <w:tcW w:w="780" w:type="dxa"/>
            <w:gridSpan w:val="3"/>
            <w:vAlign w:val="top"/>
          </w:tcPr>
          <w:p>
            <w:pPr>
              <w:pStyle w:val="3"/>
            </w:pPr>
          </w:p>
        </w:tc>
      </w:tr>
      <w:tr>
        <w:trPr>
          <w:gridAfter w:val="2"/>
          <w:wAfter w:w="236" w:type="dxa"/>
          <w:trHeight w:val="235"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20" w:type="dxa"/>
            <w:gridSpan w:val="10"/>
            <w:vAlign w:val="top"/>
          </w:tcPr>
          <w:p>
            <w:pPr>
              <w:pStyle w:val="3"/>
            </w:pPr>
          </w:p>
        </w:tc>
        <w:tc>
          <w:tcPr>
            <w:tcW w:w="780" w:type="dxa"/>
            <w:gridSpan w:val="3"/>
            <w:vAlign w:val="top"/>
          </w:tcPr>
          <w:p>
            <w:pPr>
              <w:pStyle w:val="3"/>
            </w:pPr>
          </w:p>
        </w:tc>
      </w:tr>
      <w:tr>
        <w:trPr>
          <w:gridAfter w:val="2"/>
          <w:wAfter w:w="236" w:type="dxa"/>
          <w:trHeight w:val="5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b/>
                <w:color w:val="000000"/>
                <w:sz w:val="20"/>
              </w:rPr>
              <w:t>1  重要提示</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color w:val="000000"/>
                <w:sz w:val="20"/>
              </w:rPr>
              <w:t xml:space="preserve">    产品的过往业绩并不代表其未来表现。投资有风险，投资者在作出投资决策前应仔细阅读本产品说明书。</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color w:val="000000"/>
                <w:sz w:val="20"/>
              </w:rPr>
              <w:t xml:space="preserve">    本报告中财务资料未经审计。</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r>
              <w:rPr>
                <w:color w:val="000000"/>
                <w:sz w:val="20"/>
              </w:rPr>
              <w:t xml:space="preserve">    本报告期自2020年01月01日起至03月31日止。</w:t>
            </w:r>
          </w:p>
        </w:tc>
        <w:tc>
          <w:tcPr>
            <w:tcW w:w="780" w:type="dxa"/>
            <w:gridSpan w:val="3"/>
            <w:vAlign w:val="top"/>
          </w:tcPr>
          <w:p>
            <w:pPr>
              <w:pStyle w:val="3"/>
            </w:pPr>
          </w:p>
        </w:tc>
      </w:tr>
      <w:tr>
        <w:trPr>
          <w:gridAfter w:val="2"/>
          <w:wAfter w:w="236" w:type="dxa"/>
          <w:trHeight w:val="90"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20" w:type="dxa"/>
            <w:gridSpan w:val="10"/>
            <w:vAlign w:val="top"/>
          </w:tcPr>
          <w:p>
            <w:pPr>
              <w:pStyle w:val="3"/>
            </w:pPr>
          </w:p>
        </w:tc>
        <w:tc>
          <w:tcPr>
            <w:tcW w:w="780" w:type="dxa"/>
            <w:gridSpan w:val="3"/>
            <w:vAlign w:val="top"/>
          </w:tcPr>
          <w:p>
            <w:pPr>
              <w:pStyle w:val="3"/>
            </w:pPr>
          </w:p>
        </w:tc>
      </w:tr>
      <w:tr>
        <w:trPr>
          <w:gridAfter w:val="2"/>
          <w:wAfter w:w="236" w:type="dxa"/>
          <w:trHeight w:val="50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360" w:lineRule="auto"/>
            </w:pPr>
            <w:r>
              <w:rPr>
                <w:b/>
                <w:color w:val="000000"/>
                <w:sz w:val="20"/>
              </w:rPr>
              <w:t>2  产品概况</w:t>
            </w:r>
          </w:p>
        </w:tc>
        <w:tc>
          <w:tcPr>
            <w:tcW w:w="780" w:type="dxa"/>
            <w:gridSpan w:val="3"/>
            <w:vAlign w:val="top"/>
          </w:tcPr>
          <w:p>
            <w:pPr>
              <w:pStyle w:val="3"/>
            </w:pPr>
          </w:p>
        </w:tc>
      </w:tr>
      <w:tr>
        <w:trPr>
          <w:gridAfter w:val="2"/>
          <w:wAfter w:w="236" w:type="dxa"/>
          <w:trHeight w:val="8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产品名称</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color w:val="000000"/>
                <w:sz w:val="20"/>
                <w:lang w:eastAsia="zh-CN"/>
              </w:rPr>
              <w:t>金港湾</w:t>
            </w:r>
            <w:r>
              <w:rPr>
                <w:color w:val="000000"/>
                <w:sz w:val="20"/>
              </w:rPr>
              <w:t>悠享月开1号</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产品编码</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YX1801001</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全国银行业理财信息登记系统编码</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C1115618000335</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产品运作方式</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开放式净值型</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产品类型</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固定收益类</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募集方式</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公募</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报告期末产品份额总额</w:t>
            </w:r>
          </w:p>
        </w:tc>
        <w:tc>
          <w:tcPr>
            <w:tcW w:w="712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222,830,000.00</w:t>
            </w:r>
          </w:p>
        </w:tc>
        <w:tc>
          <w:tcPr>
            <w:tcW w:w="780" w:type="dxa"/>
            <w:gridSpan w:val="3"/>
            <w:vAlign w:val="top"/>
          </w:tcPr>
          <w:p>
            <w:pPr>
              <w:pStyle w:val="3"/>
            </w:pPr>
          </w:p>
        </w:tc>
      </w:tr>
      <w:tr>
        <w:trPr>
          <w:gridAfter w:val="2"/>
          <w:wAfter w:w="236" w:type="dxa"/>
          <w:trHeight w:val="365"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20" w:type="dxa"/>
            <w:gridSpan w:val="10"/>
            <w:vAlign w:val="top"/>
          </w:tcPr>
          <w:p>
            <w:pPr>
              <w:pStyle w:val="3"/>
            </w:pPr>
          </w:p>
        </w:tc>
        <w:tc>
          <w:tcPr>
            <w:tcW w:w="780" w:type="dxa"/>
            <w:gridSpan w:val="3"/>
            <w:vAlign w:val="top"/>
          </w:tcPr>
          <w:p>
            <w:pPr>
              <w:pStyle w:val="3"/>
            </w:pPr>
          </w:p>
        </w:tc>
      </w:tr>
      <w:tr>
        <w:trPr>
          <w:trHeight w:val="50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360" w:lineRule="auto"/>
            </w:pPr>
            <w:r>
              <w:rPr>
                <w:rFonts w:hint="eastAsia"/>
                <w:b/>
                <w:color w:val="000000"/>
                <w:sz w:val="20"/>
                <w:lang w:val="en-US" w:eastAsia="zh-CN"/>
              </w:rPr>
              <w:t>3</w:t>
            </w:r>
            <w:r>
              <w:rPr>
                <w:b/>
                <w:color w:val="000000"/>
                <w:sz w:val="20"/>
              </w:rPr>
              <w:t xml:space="preserve">  投资组合报告</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.1 报告期末产品资产组合情况</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rPr>
                <w:color w:val="000000"/>
                <w:sz w:val="20"/>
              </w:rPr>
            </w:pPr>
            <w:r>
              <w:rPr>
                <w:rFonts w:hint="default" w:ascii="Times New Roman" w:hAnsi="宋体"/>
                <w:b w:val="0"/>
                <w:i w:val="0"/>
                <w:color w:val="000000"/>
                <w:sz w:val="20"/>
                <w:u w:val="none"/>
              </w:rPr>
              <w:t>264,569,506.98</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96.06%</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rPr>
                <w:color w:val="000000"/>
                <w:sz w:val="20"/>
              </w:rPr>
            </w:pPr>
            <w:r>
              <w:rPr>
                <w:rFonts w:hint="default" w:ascii="Times New Roman" w:hAnsi="宋体"/>
                <w:b w:val="0"/>
                <w:i w:val="0"/>
                <w:color w:val="000000"/>
                <w:sz w:val="20"/>
                <w:u w:val="none"/>
              </w:rPr>
              <w:t>264,569,506.98</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96.06%</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1"/>
                <w:u w:val="none"/>
                <w:lang w:eastAsia="zh-CN"/>
              </w:rPr>
              <w:t xml:space="preserve">    非银行间</w:t>
            </w:r>
            <w:r>
              <w:rPr>
                <w:rFonts w:hint="default" w:ascii="Calibri" w:hAnsi="宋体"/>
                <w:b w:val="0"/>
                <w:i w:val="0"/>
                <w:color w:val="000000"/>
                <w:sz w:val="21"/>
                <w:u w:val="none"/>
              </w:rPr>
              <w:t>/</w:t>
            </w:r>
            <w:r>
              <w:rPr>
                <w:rFonts w:hint="default" w:ascii="宋体" w:hAnsi="宋体" w:eastAsia="宋体"/>
                <w:b w:val="0"/>
                <w:i w:val="0"/>
                <w:color w:val="000000"/>
                <w:sz w:val="21"/>
                <w:u w:val="none"/>
                <w:lang w:eastAsia="zh-CN"/>
              </w:rPr>
              <w:t>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10,855,450.85</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3.94%</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ascii="Times New Roman" w:hAnsi="宋体"/>
                <w:b w:val="0"/>
                <w:i w:val="0"/>
                <w:color w:val="000000"/>
                <w:sz w:val="20"/>
                <w:u w:val="none"/>
              </w:rPr>
              <w:t>275,424,957.83</w:t>
            </w:r>
          </w:p>
        </w:tc>
        <w:tc>
          <w:tcPr>
            <w:tcW w:w="332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100.00%</w:t>
            </w:r>
          </w:p>
        </w:tc>
        <w:tc>
          <w:tcPr>
            <w:tcW w:w="236" w:type="dxa"/>
            <w:gridSpan w:val="2"/>
            <w:vAlign w:val="top"/>
          </w:tcPr>
          <w:p>
            <w:pPr>
              <w:pStyle w:val="3"/>
            </w:pPr>
          </w:p>
        </w:tc>
        <w:tc>
          <w:tcPr>
            <w:tcW w:w="780" w:type="dxa"/>
            <w:gridSpan w:val="3"/>
            <w:vAlign w:val="top"/>
          </w:tcPr>
          <w:p>
            <w:pPr>
              <w:pStyle w:val="3"/>
            </w:pPr>
          </w:p>
        </w:tc>
      </w:tr>
      <w:tr>
        <w:trPr>
          <w:trHeight w:val="360" w:hRule="exact"/>
        </w:trPr>
        <w:tc>
          <w:tcPr>
            <w:tcW w:w="1" w:type="dxa"/>
            <w:vAlign w:val="top"/>
          </w:tcPr>
          <w:p>
            <w:pPr>
              <w:pStyle w:val="3"/>
            </w:pPr>
          </w:p>
        </w:tc>
        <w:tc>
          <w:tcPr>
            <w:tcW w:w="800" w:type="dxa"/>
            <w:vAlign w:val="top"/>
          </w:tcPr>
          <w:p>
            <w:pPr>
              <w:pStyle w:val="3"/>
            </w:pPr>
          </w:p>
        </w:tc>
        <w:tc>
          <w:tcPr>
            <w:tcW w:w="2600" w:type="dxa"/>
            <w:gridSpan w:val="3"/>
            <w:vAlign w:val="top"/>
          </w:tcPr>
          <w:p>
            <w:pPr>
              <w:pStyle w:val="3"/>
            </w:pPr>
          </w:p>
        </w:tc>
        <w:tc>
          <w:tcPr>
            <w:tcW w:w="600" w:type="dxa"/>
            <w:gridSpan w:val="2"/>
            <w:vAlign w:val="top"/>
          </w:tcPr>
          <w:p>
            <w:pPr>
              <w:pStyle w:val="3"/>
            </w:pPr>
          </w:p>
        </w:tc>
        <w:tc>
          <w:tcPr>
            <w:tcW w:w="20" w:type="dxa"/>
            <w:vAlign w:val="top"/>
          </w:tcPr>
          <w:p>
            <w:pPr>
              <w:pStyle w:val="3"/>
            </w:pPr>
          </w:p>
        </w:tc>
        <w:tc>
          <w:tcPr>
            <w:tcW w:w="3380" w:type="dxa"/>
            <w:gridSpan w:val="4"/>
            <w:vAlign w:val="top"/>
          </w:tcPr>
          <w:p>
            <w:pPr>
              <w:pStyle w:val="3"/>
            </w:pPr>
          </w:p>
        </w:tc>
        <w:tc>
          <w:tcPr>
            <w:tcW w:w="220" w:type="dxa"/>
            <w:vAlign w:val="top"/>
          </w:tcPr>
          <w:p>
            <w:pPr>
              <w:pStyle w:val="3"/>
            </w:pPr>
          </w:p>
        </w:tc>
        <w:tc>
          <w:tcPr>
            <w:tcW w:w="3100" w:type="dxa"/>
            <w:gridSpan w:val="3"/>
            <w:vAlign w:val="top"/>
          </w:tcPr>
          <w:p>
            <w:pPr>
              <w:pStyle w:val="3"/>
            </w:pPr>
          </w:p>
        </w:tc>
        <w:tc>
          <w:tcPr>
            <w:tcW w:w="236" w:type="dxa"/>
            <w:gridSpan w:val="2"/>
            <w:vAlign w:val="top"/>
          </w:tcPr>
          <w:p>
            <w:pPr>
              <w:pStyle w:val="3"/>
            </w:pPr>
          </w:p>
        </w:tc>
        <w:tc>
          <w:tcPr>
            <w:tcW w:w="780" w:type="dxa"/>
            <w:gridSpan w:val="3"/>
            <w:vAlign w:val="top"/>
          </w:tcPr>
          <w:p>
            <w:pPr>
              <w:pStyle w:val="3"/>
            </w:pPr>
          </w:p>
        </w:tc>
      </w:tr>
      <w:tr>
        <w:trPr>
          <w:trHeight w:val="42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.2 报告期末按债券品种分类的债券投资组合</w:t>
            </w:r>
          </w:p>
        </w:tc>
        <w:tc>
          <w:tcPr>
            <w:tcW w:w="236" w:type="dxa"/>
            <w:gridSpan w:val="2"/>
            <w:vAlign w:val="top"/>
          </w:tcPr>
          <w:p>
            <w:pPr>
              <w:pStyle w:val="3"/>
            </w:pP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52,963,695.08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19</w:t>
            </w:r>
            <w:r>
              <w:rPr>
                <w:color w:val="000000"/>
                <w:sz w:val="20"/>
              </w:rPr>
              <w:t>.</w:t>
            </w:r>
            <w:r>
              <w:rPr>
                <w:rFonts w:hint="eastAsia"/>
                <w:color w:val="000000"/>
                <w:sz w:val="20"/>
                <w:lang w:val="en-US" w:eastAsia="zh-CN"/>
              </w:rPr>
              <w:t>23</w:t>
            </w:r>
            <w:r>
              <w:rPr>
                <w:color w:val="000000"/>
                <w:sz w:val="20"/>
              </w:rPr>
              <w:t>%</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20,373,691.80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7.4</w:t>
            </w:r>
            <w:r>
              <w:rPr>
                <w:color w:val="000000"/>
                <w:sz w:val="20"/>
              </w:rPr>
              <w:t>%</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201,277,135.87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73.08</w:t>
            </w:r>
            <w:r>
              <w:rPr>
                <w:color w:val="000000"/>
                <w:sz w:val="20"/>
              </w:rPr>
              <w:t>%</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10,328,676.03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3.75</w:t>
            </w:r>
            <w:r>
              <w:rPr>
                <w:color w:val="000000"/>
                <w:sz w:val="20"/>
              </w:rPr>
              <w:t>%</w:t>
            </w:r>
          </w:p>
        </w:tc>
        <w:tc>
          <w:tcPr>
            <w:tcW w:w="780" w:type="dxa"/>
            <w:gridSpan w:val="3"/>
            <w:vAlign w:val="top"/>
          </w:tcPr>
          <w:p>
            <w:pPr>
              <w:pStyle w:val="3"/>
            </w:pPr>
          </w:p>
        </w:tc>
      </w:tr>
      <w:tr>
        <w:trPr>
          <w:gridAfter w:val="2"/>
          <w:wAfter w:w="236" w:type="dxa"/>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264,569,506.98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96.06</w:t>
            </w:r>
            <w:r>
              <w:rPr>
                <w:color w:val="000000"/>
                <w:sz w:val="20"/>
              </w:rPr>
              <w:t>%</w:t>
            </w:r>
          </w:p>
        </w:tc>
        <w:tc>
          <w:tcPr>
            <w:tcW w:w="780" w:type="dxa"/>
            <w:gridSpan w:val="3"/>
            <w:vAlign w:val="top"/>
          </w:tcPr>
          <w:p>
            <w:pPr>
              <w:pStyle w:val="3"/>
            </w:pPr>
          </w:p>
        </w:tc>
      </w:tr>
      <w:tr>
        <w:trPr>
          <w:gridAfter w:val="1"/>
          <w:wAfter w:w="120" w:type="dxa"/>
          <w:trHeight w:val="420" w:hRule="exact"/>
        </w:trPr>
        <w:tc>
          <w:tcPr>
            <w:tcW w:w="1" w:type="dxa"/>
            <w:vAlign w:val="top"/>
          </w:tcPr>
          <w:p>
            <w:pPr>
              <w:pStyle w:val="3"/>
            </w:pPr>
            <w:bookmarkStart w:id="1" w:name="JR_PAGE_ANCHOR_0_3"/>
            <w:bookmarkEnd w:id="1"/>
          </w:p>
        </w:tc>
        <w:tc>
          <w:tcPr>
            <w:tcW w:w="10600" w:type="dxa"/>
            <w:gridSpan w:val="14"/>
            <w:tcMar>
              <w:top w:w="0" w:type="dxa"/>
              <w:left w:w="0" w:type="dxa"/>
              <w:bottom w:w="0" w:type="dxa"/>
              <w:right w:w="0" w:type="dxa"/>
            </w:tcMar>
            <w:vAlign w:val="center"/>
          </w:tcPr>
          <w:p>
            <w:pPr>
              <w:spacing w:before="0" w:after="0" w:line="360" w:lineRule="auto"/>
              <w:rPr>
                <w:rFonts w:hint="eastAsia"/>
                <w:color w:val="000000"/>
                <w:sz w:val="20"/>
                <w:lang w:val="en-US" w:eastAsia="zh-CN"/>
              </w:rPr>
            </w:pP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420" w:hRule="exact"/>
        </w:trPr>
        <w:tc>
          <w:tcPr>
            <w:tcW w:w="1" w:type="dxa"/>
            <w:vAlign w:val="top"/>
          </w:tcPr>
          <w:p>
            <w:pPr>
              <w:pStyle w:val="3"/>
            </w:pPr>
          </w:p>
        </w:tc>
        <w:tc>
          <w:tcPr>
            <w:tcW w:w="10600" w:type="dxa"/>
            <w:gridSpan w:val="14"/>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.3 报告期末按市值占产品资产净值比例大小排名的前十名资产投资明细</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b/>
                <w:color w:val="000000"/>
                <w:sz w:val="20"/>
              </w:rPr>
              <w:t>占产品资产净值比例（％）</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143599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18甬投01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21,095,274.79</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9.46%</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136676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16天风02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20,576,438.90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9.23%</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190211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19国开11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20,373,691.80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9.14%</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102000052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20中建材MTN001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20,188,297.16</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9.05%</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155210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19苏城01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15,270,759.45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6.85%</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145843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17湖州01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11,202,272.47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5.02%</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031800442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18浦口康居PPN005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10,488,397.23</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4.70%</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151965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19晋佳01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10,373,605.14</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4.65%</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121718001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17紫金科技PRN001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10,328,676.03</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4.63%</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155240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19华泰G1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10,180,006.85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color w:val="000000"/>
                <w:sz w:val="20"/>
              </w:rPr>
            </w:pPr>
            <w:r>
              <w:rPr>
                <w:rFonts w:hint="default"/>
                <w:color w:val="000000"/>
                <w:sz w:val="20"/>
                <w:lang w:eastAsia="zh-CN"/>
              </w:rPr>
              <w:t>4.56%</w:t>
            </w:r>
          </w:p>
        </w:tc>
        <w:tc>
          <w:tcPr>
            <w:tcW w:w="236" w:type="dxa"/>
            <w:gridSpan w:val="2"/>
            <w:vAlign w:val="top"/>
          </w:tcPr>
          <w:p>
            <w:pPr>
              <w:pStyle w:val="3"/>
            </w:pPr>
          </w:p>
        </w:tc>
        <w:tc>
          <w:tcPr>
            <w:tcW w:w="780" w:type="dxa"/>
            <w:gridSpan w:val="3"/>
            <w:vAlign w:val="top"/>
          </w:tcPr>
          <w:p>
            <w:pPr>
              <w:pStyle w:val="3"/>
            </w:pPr>
          </w:p>
        </w:tc>
      </w:tr>
      <w:tr>
        <w:trPr>
          <w:gridAfter w:val="1"/>
          <w:wAfter w:w="120" w:type="dxa"/>
          <w:trHeight w:val="39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236" w:type="dxa"/>
            <w:gridSpan w:val="2"/>
            <w:vAlign w:val="top"/>
          </w:tcPr>
          <w:p>
            <w:pPr>
              <w:pStyle w:val="3"/>
            </w:pP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.4 报告期末</w:t>
            </w:r>
            <w:r>
              <w:rPr>
                <w:rFonts w:hint="eastAsia"/>
                <w:color w:val="000000"/>
                <w:sz w:val="20"/>
                <w:lang w:eastAsia="zh-CN"/>
              </w:rPr>
              <w:t>资产</w:t>
            </w:r>
            <w:r>
              <w:rPr>
                <w:color w:val="000000"/>
                <w:sz w:val="20"/>
              </w:rPr>
              <w:t>组合流动性风险分析</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产品资产净值（元）</w:t>
            </w:r>
          </w:p>
        </w:tc>
        <w:tc>
          <w:tcPr>
            <w:tcW w:w="41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流动性资产占比（%）</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31,229,142.65</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eastAsia"/>
              </w:rPr>
              <w:t>223015374.63</w:t>
            </w:r>
          </w:p>
        </w:tc>
        <w:tc>
          <w:tcPr>
            <w:tcW w:w="41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14.00%</w:t>
            </w:r>
          </w:p>
        </w:tc>
        <w:tc>
          <w:tcPr>
            <w:tcW w:w="780" w:type="dxa"/>
            <w:gridSpan w:val="3"/>
            <w:vAlign w:val="top"/>
          </w:tcPr>
          <w:p>
            <w:pPr>
              <w:pStyle w:val="3"/>
            </w:pPr>
          </w:p>
        </w:tc>
      </w:tr>
      <w:tr>
        <w:trPr>
          <w:gridAfter w:val="1"/>
          <w:wAfter w:w="120" w:type="dxa"/>
          <w:trHeight w:val="485"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236" w:type="dxa"/>
            <w:gridSpan w:val="2"/>
            <w:vAlign w:val="top"/>
          </w:tcPr>
          <w:p>
            <w:pPr>
              <w:pStyle w:val="3"/>
            </w:pPr>
          </w:p>
        </w:tc>
        <w:tc>
          <w:tcPr>
            <w:tcW w:w="780" w:type="dxa"/>
            <w:gridSpan w:val="3"/>
            <w:vAlign w:val="top"/>
          </w:tcPr>
          <w:p>
            <w:pPr>
              <w:pStyle w:val="3"/>
            </w:pPr>
          </w:p>
        </w:tc>
      </w:tr>
      <w:tr>
        <w:trPr>
          <w:gridAfter w:val="2"/>
          <w:wAfter w:w="236" w:type="dxa"/>
          <w:trHeight w:val="1200" w:hRule="exact"/>
        </w:trPr>
        <w:tc>
          <w:tcPr>
            <w:tcW w:w="1" w:type="dxa"/>
            <w:vAlign w:val="top"/>
          </w:tcPr>
          <w:p>
            <w:pPr>
              <w:pStyle w:val="3"/>
            </w:pPr>
          </w:p>
        </w:tc>
        <w:tc>
          <w:tcPr>
            <w:tcW w:w="10720" w:type="dxa"/>
            <w:gridSpan w:val="15"/>
            <w:tcMar>
              <w:top w:w="0" w:type="dxa"/>
              <w:left w:w="0" w:type="dxa"/>
              <w:bottom w:w="0" w:type="dxa"/>
              <w:right w:w="0" w:type="dxa"/>
            </w:tcMar>
            <w:vAlign w:val="center"/>
          </w:tcPr>
          <w:p>
            <w:pPr>
              <w:spacing w:before="0" w:after="0" w:line="360" w:lineRule="auto"/>
            </w:pPr>
            <w:r>
              <w:rPr>
                <w:color w:val="000000"/>
                <w:sz w:val="20"/>
              </w:rPr>
              <w:t xml:space="preserve">    </w:t>
            </w:r>
            <w:r>
              <w:rPr>
                <w:rFonts w:hint="eastAsia"/>
                <w:color w:val="000000"/>
                <w:sz w:val="20"/>
              </w:rPr>
              <w:t>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bookmarkStart w:id="2" w:name="_GoBack"/>
            <w:bookmarkEnd w:id="2"/>
          </w:p>
        </w:tc>
        <w:tc>
          <w:tcPr>
            <w:tcW w:w="780" w:type="dxa"/>
            <w:gridSpan w:val="3"/>
            <w:vAlign w:val="top"/>
          </w:tcPr>
          <w:p>
            <w:pPr>
              <w:pStyle w:val="3"/>
            </w:pPr>
          </w:p>
        </w:tc>
      </w:tr>
      <w:tr>
        <w:trPr>
          <w:gridAfter w:val="1"/>
          <w:wAfter w:w="120" w:type="dxa"/>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236" w:type="dxa"/>
            <w:gridSpan w:val="2"/>
            <w:vAlign w:val="top"/>
          </w:tcPr>
          <w:p>
            <w:pPr>
              <w:pStyle w:val="3"/>
            </w:pP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pPr>
              <w:spacing w:before="0" w:after="0" w:line="360" w:lineRule="auto"/>
            </w:pPr>
            <w:r>
              <w:rPr>
                <w:color w:val="000000"/>
                <w:sz w:val="20"/>
              </w:rPr>
              <w:t xml:space="preserve">   </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color w:val="000000"/>
                <w:sz w:val="20"/>
              </w:rPr>
              <w:t xml:space="preserve">               </w:t>
            </w:r>
          </w:p>
        </w:tc>
        <w:tc>
          <w:tcPr>
            <w:tcW w:w="780" w:type="dxa"/>
            <w:gridSpan w:val="3"/>
            <w:vAlign w:val="top"/>
          </w:tcPr>
          <w:p>
            <w:pPr>
              <w:pStyle w:val="3"/>
            </w:pPr>
          </w:p>
        </w:tc>
      </w:tr>
      <w:tr>
        <w:trPr>
          <w:gridAfter w:val="2"/>
          <w:wAfter w:w="236" w:type="dxa"/>
          <w:trHeight w:val="400" w:hRule="exact"/>
        </w:trPr>
        <w:tc>
          <w:tcPr>
            <w:tcW w:w="1" w:type="dxa"/>
            <w:vAlign w:val="top"/>
          </w:tcPr>
          <w:p>
            <w:pPr>
              <w:pStyle w:val="3"/>
            </w:pPr>
          </w:p>
        </w:tc>
        <w:tc>
          <w:tcPr>
            <w:tcW w:w="10720" w:type="dxa"/>
            <w:gridSpan w:val="15"/>
            <w:tcMar>
              <w:top w:w="0" w:type="dxa"/>
              <w:left w:w="0" w:type="dxa"/>
              <w:bottom w:w="0" w:type="dxa"/>
              <w:right w:w="0" w:type="dxa"/>
            </w:tcMar>
            <w:vAlign w:val="top"/>
          </w:tcPr>
          <w:p>
            <w:pPr>
              <w:spacing w:before="0" w:after="0" w:line="360" w:lineRule="auto"/>
              <w:jc w:val="right"/>
            </w:pPr>
            <w:r>
              <w:rPr>
                <w:color w:val="000000"/>
                <w:sz w:val="20"/>
              </w:rPr>
              <w:t>2020年03月31日</w:t>
            </w:r>
          </w:p>
        </w:tc>
        <w:tc>
          <w:tcPr>
            <w:tcW w:w="780" w:type="dxa"/>
            <w:gridSpan w:val="3"/>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原版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efaultTabStop w:val="800"/>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jc w:val="both"/>
    </w:pPr>
    <w:rPr>
      <w:rFonts w:ascii="Times New Roman" w:hAnsi="Times New Roman" w:eastAsia="宋体" w:cs="Times New Roman"/>
      <w:kern w:val="2"/>
      <w:sz w:val="21"/>
      <w:lang w:val="en-US" w:eastAsia="zh-CN" w:bidi="ar-SA"/>
    </w:rPr>
  </w:style>
  <w:style w:type="character" w:default="1" w:styleId="2">
    <w:name w:val="Default Paragraph Font"/>
  </w:style>
  <w:style w:type="paragraph" w:customStyle="1" w:styleId="3">
    <w:name w:val="EMPTY_CELL_STYLE"/>
    <w:rPr>
      <w:rFonts w:ascii="Times New Roman" w:hAnsi="Times New Roman" w:eastAsia="宋体" w:cs="Times New Roman"/>
      <w:color w:val="000000"/>
      <w:sz w:val="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2020-04-04T17:02:00Z</dcterms:created>
  <dc:creator>zrc</dc:creator>
  <dcterms:modified xsi:type="dcterms:W3CDTF">2020-04-13T15:47:46Z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