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1"/>
        <w:gridCol w:w="800"/>
        <w:gridCol w:w="2000"/>
        <w:gridCol w:w="400"/>
        <w:gridCol w:w="200"/>
        <w:gridCol w:w="200"/>
        <w:gridCol w:w="400"/>
        <w:gridCol w:w="20"/>
        <w:gridCol w:w="980"/>
        <w:gridCol w:w="423"/>
        <w:gridCol w:w="1177"/>
        <w:gridCol w:w="400"/>
        <w:gridCol w:w="400"/>
        <w:gridCol w:w="220"/>
        <w:gridCol w:w="1286"/>
        <w:gridCol w:w="94"/>
        <w:gridCol w:w="1460"/>
        <w:gridCol w:w="140"/>
        <w:gridCol w:w="100"/>
        <w:gridCol w:w="20"/>
        <w:gridCol w:w="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0" w:hRule="atLeast"/>
        </w:trPr>
        <w:tc>
          <w:tcPr>
            <w:tcW w:w="1" w:type="dxa"/>
            <w:vAlign w:val="top"/>
          </w:tcPr>
          <w:p>
            <w:pPr>
              <w:pStyle w:val="4"/>
            </w:pPr>
            <w:bookmarkStart w:id="0" w:name="JR_PAGE_ANCHOR_0_1"/>
            <w:bookmarkEnd w:id="0"/>
          </w:p>
        </w:tc>
        <w:tc>
          <w:tcPr>
            <w:tcW w:w="3400" w:type="dxa"/>
            <w:gridSpan w:val="4"/>
            <w:vAlign w:val="top"/>
          </w:tcPr>
          <w:p>
            <w:pPr>
              <w:pStyle w:val="4"/>
            </w:pPr>
          </w:p>
        </w:tc>
        <w:tc>
          <w:tcPr>
            <w:tcW w:w="200" w:type="dxa"/>
            <w:vAlign w:val="top"/>
          </w:tcPr>
          <w:p>
            <w:pPr>
              <w:pStyle w:val="4"/>
            </w:pPr>
          </w:p>
        </w:tc>
        <w:tc>
          <w:tcPr>
            <w:tcW w:w="7100" w:type="dxa"/>
            <w:gridSpan w:val="13"/>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1179" w:hRule="exact"/>
        </w:trPr>
        <w:tc>
          <w:tcPr>
            <w:tcW w:w="1" w:type="dxa"/>
            <w:vAlign w:val="top"/>
          </w:tcPr>
          <w:p>
            <w:pPr>
              <w:pStyle w:val="4"/>
            </w:pPr>
          </w:p>
        </w:tc>
        <w:tc>
          <w:tcPr>
            <w:tcW w:w="10700" w:type="dxa"/>
            <w:gridSpan w:val="18"/>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“金港湾惠享（私募版）1914期”定期报告</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8"/>
            <w:tcMar>
              <w:top w:w="0" w:type="dxa"/>
              <w:left w:w="0" w:type="dxa"/>
              <w:bottom w:w="0" w:type="dxa"/>
              <w:right w:w="0" w:type="dxa"/>
            </w:tcMar>
            <w:vAlign w:val="top"/>
          </w:tcPr>
          <w:p>
            <w:pPr>
              <w:rPr>
                <w:rFonts w:ascii="原版宋体" w:hAnsi="原版宋体" w:eastAsia="原版宋体" w:cs="原版宋体"/>
                <w:color w:val="000000"/>
                <w:sz w:val="20"/>
              </w:rPr>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385" w:hRule="exact"/>
        </w:trPr>
        <w:tc>
          <w:tcPr>
            <w:tcW w:w="1" w:type="dxa"/>
            <w:vAlign w:val="top"/>
          </w:tcPr>
          <w:p>
            <w:pPr>
              <w:pStyle w:val="4"/>
            </w:pPr>
          </w:p>
        </w:tc>
        <w:tc>
          <w:tcPr>
            <w:tcW w:w="10700" w:type="dxa"/>
            <w:gridSpan w:val="18"/>
            <w:tcMar>
              <w:top w:w="0" w:type="dxa"/>
              <w:left w:w="0" w:type="dxa"/>
              <w:bottom w:w="0" w:type="dxa"/>
              <w:right w:w="0" w:type="dxa"/>
            </w:tcMar>
            <w:vAlign w:val="top"/>
          </w:tcPr>
          <w:p>
            <w:r>
              <w:rPr>
                <w:rFonts w:ascii="原版宋体" w:hAnsi="原版宋体" w:eastAsia="原版宋体" w:cs="原版宋体"/>
                <w:color w:val="000000"/>
                <w:sz w:val="20"/>
              </w:rPr>
              <w:t>产品管理人：</w:t>
            </w:r>
            <w:r>
              <w:rPr>
                <w:rFonts w:hint="eastAsia" w:ascii="原版宋体" w:hAnsi="原版宋体" w:eastAsia="原版宋体" w:cs="原版宋体"/>
                <w:color w:val="000000"/>
                <w:sz w:val="20"/>
                <w:lang w:eastAsia="zh-CN"/>
              </w:rPr>
              <w:t>江苏张家港农村商业银行股份有限公司</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8"/>
            <w:tcMar>
              <w:top w:w="0" w:type="dxa"/>
              <w:left w:w="0" w:type="dxa"/>
              <w:bottom w:w="0" w:type="dxa"/>
              <w:right w:w="0" w:type="dxa"/>
            </w:tcMar>
            <w:vAlign w:val="top"/>
          </w:tcPr>
          <w:p>
            <w:r>
              <w:rPr>
                <w:rFonts w:ascii="原版宋体" w:hAnsi="原版宋体" w:eastAsia="原版宋体" w:cs="原版宋体"/>
                <w:color w:val="000000"/>
                <w:sz w:val="20"/>
              </w:rPr>
              <w:t>产品托管人：</w:t>
            </w:r>
            <w:r>
              <w:rPr>
                <w:rFonts w:hint="eastAsia" w:ascii="原版宋体" w:hAnsi="原版宋体" w:eastAsia="原版宋体" w:cs="原版宋体"/>
                <w:color w:val="000000"/>
                <w:sz w:val="20"/>
                <w:lang w:eastAsia="zh-CN"/>
              </w:rPr>
              <w:t>招商银行股份有限公司</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8"/>
            <w:tcMar>
              <w:top w:w="0" w:type="dxa"/>
              <w:left w:w="0" w:type="dxa"/>
              <w:bottom w:w="0" w:type="dxa"/>
              <w:right w:w="0" w:type="dxa"/>
            </w:tcMar>
            <w:vAlign w:val="top"/>
          </w:tcPr>
          <w:p>
            <w:r>
              <w:rPr>
                <w:rFonts w:ascii="原版宋体" w:hAnsi="原版宋体" w:eastAsia="原版宋体" w:cs="原版宋体"/>
                <w:color w:val="000000"/>
                <w:sz w:val="20"/>
              </w:rPr>
              <w:t>发布时间：2020年03月31日</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130" w:hRule="exact"/>
        </w:trPr>
        <w:tc>
          <w:tcPr>
            <w:tcW w:w="1" w:type="dxa"/>
            <w:vAlign w:val="top"/>
          </w:tcPr>
          <w:p>
            <w:pPr>
              <w:pStyle w:val="4"/>
            </w:pPr>
          </w:p>
        </w:tc>
        <w:tc>
          <w:tcPr>
            <w:tcW w:w="3400" w:type="dxa"/>
            <w:gridSpan w:val="4"/>
            <w:vAlign w:val="top"/>
          </w:tcPr>
          <w:p>
            <w:pPr>
              <w:pStyle w:val="4"/>
            </w:pPr>
          </w:p>
        </w:tc>
        <w:tc>
          <w:tcPr>
            <w:tcW w:w="200" w:type="dxa"/>
            <w:vAlign w:val="top"/>
          </w:tcPr>
          <w:p>
            <w:pPr>
              <w:pStyle w:val="4"/>
            </w:pPr>
          </w:p>
        </w:tc>
        <w:tc>
          <w:tcPr>
            <w:tcW w:w="7100" w:type="dxa"/>
            <w:gridSpan w:val="13"/>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10700" w:type="dxa"/>
            <w:gridSpan w:val="18"/>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8"/>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8"/>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8"/>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本报告期自2020年01月01日起至03月31日止。</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14" w:hRule="exact"/>
        </w:trPr>
        <w:tc>
          <w:tcPr>
            <w:tcW w:w="1" w:type="dxa"/>
            <w:vAlign w:val="top"/>
          </w:tcPr>
          <w:p>
            <w:pPr>
              <w:pStyle w:val="4"/>
            </w:pPr>
          </w:p>
        </w:tc>
        <w:tc>
          <w:tcPr>
            <w:tcW w:w="3400" w:type="dxa"/>
            <w:gridSpan w:val="4"/>
            <w:vAlign w:val="top"/>
          </w:tcPr>
          <w:p>
            <w:pPr>
              <w:pStyle w:val="4"/>
            </w:pPr>
          </w:p>
        </w:tc>
        <w:tc>
          <w:tcPr>
            <w:tcW w:w="200" w:type="dxa"/>
            <w:vAlign w:val="top"/>
          </w:tcPr>
          <w:p>
            <w:pPr>
              <w:pStyle w:val="4"/>
            </w:pPr>
          </w:p>
        </w:tc>
        <w:tc>
          <w:tcPr>
            <w:tcW w:w="7100" w:type="dxa"/>
            <w:gridSpan w:val="13"/>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10700" w:type="dxa"/>
            <w:gridSpan w:val="18"/>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8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1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金港湾惠享（私募版）1914期</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1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HXSM1914</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1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C1115619A000066</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1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封闭式净值型</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1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1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私募</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1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500,000,000.00</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80" w:hRule="exact"/>
        </w:trPr>
        <w:tc>
          <w:tcPr>
            <w:tcW w:w="1" w:type="dxa"/>
            <w:vAlign w:val="top"/>
          </w:tcPr>
          <w:p>
            <w:pPr>
              <w:pStyle w:val="4"/>
            </w:pPr>
          </w:p>
        </w:tc>
        <w:tc>
          <w:tcPr>
            <w:tcW w:w="800" w:type="dxa"/>
            <w:vAlign w:val="top"/>
          </w:tcPr>
          <w:p>
            <w:pPr>
              <w:pStyle w:val="4"/>
            </w:pPr>
          </w:p>
        </w:tc>
        <w:tc>
          <w:tcPr>
            <w:tcW w:w="2600" w:type="dxa"/>
            <w:gridSpan w:val="3"/>
            <w:vAlign w:val="top"/>
          </w:tcPr>
          <w:p>
            <w:pPr>
              <w:pStyle w:val="4"/>
            </w:pPr>
          </w:p>
        </w:tc>
        <w:tc>
          <w:tcPr>
            <w:tcW w:w="600" w:type="dxa"/>
            <w:gridSpan w:val="2"/>
            <w:vAlign w:val="top"/>
          </w:tcPr>
          <w:p>
            <w:pPr>
              <w:pStyle w:val="4"/>
            </w:pPr>
          </w:p>
        </w:tc>
        <w:tc>
          <w:tcPr>
            <w:tcW w:w="20" w:type="dxa"/>
            <w:vAlign w:val="top"/>
          </w:tcPr>
          <w:p>
            <w:pPr>
              <w:pStyle w:val="4"/>
            </w:pPr>
          </w:p>
        </w:tc>
        <w:tc>
          <w:tcPr>
            <w:tcW w:w="3380" w:type="dxa"/>
            <w:gridSpan w:val="5"/>
            <w:vAlign w:val="top"/>
          </w:tcPr>
          <w:p>
            <w:pPr>
              <w:pStyle w:val="4"/>
            </w:pPr>
          </w:p>
        </w:tc>
        <w:tc>
          <w:tcPr>
            <w:tcW w:w="220" w:type="dxa"/>
            <w:vAlign w:val="top"/>
          </w:tcPr>
          <w:p>
            <w:pPr>
              <w:pStyle w:val="4"/>
            </w:pPr>
          </w:p>
        </w:tc>
        <w:tc>
          <w:tcPr>
            <w:tcW w:w="3080" w:type="dxa"/>
            <w:gridSpan w:val="5"/>
            <w:vAlign w:val="top"/>
          </w:tcPr>
          <w:p>
            <w:pPr>
              <w:pStyle w:val="4"/>
            </w:pP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10700" w:type="dxa"/>
            <w:gridSpan w:val="18"/>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b/>
                <w:color w:val="000000"/>
                <w:sz w:val="20"/>
                <w:lang w:val="en-US" w:eastAsia="zh-CN"/>
              </w:rPr>
              <w:t>3</w:t>
            </w:r>
            <w:r>
              <w:rPr>
                <w:rFonts w:ascii="原版宋体" w:hAnsi="原版宋体" w:eastAsia="原版宋体" w:cs="原版宋体"/>
                <w:b/>
                <w:color w:val="000000"/>
                <w:sz w:val="20"/>
              </w:rPr>
              <w:t xml:space="preserve">  投资组合报告</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10700" w:type="dxa"/>
            <w:gridSpan w:val="18"/>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.1 报告期末产品资产组合情况</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w:t>
            </w:r>
            <w:r>
              <w:rPr>
                <w:rFonts w:hint="eastAsia" w:ascii="原版宋体" w:hAnsi="原版宋体" w:eastAsia="原版宋体" w:cs="原版宋体"/>
                <w:b/>
                <w:color w:val="000000"/>
                <w:sz w:val="20"/>
                <w:lang w:val="en-US" w:eastAsia="zh-CN"/>
              </w:rPr>
              <w:t>组合</w:t>
            </w:r>
            <w:r>
              <w:rPr>
                <w:rFonts w:ascii="原版宋体" w:hAnsi="原版宋体" w:eastAsia="原版宋体" w:cs="原版宋体"/>
                <w:b/>
                <w:color w:val="000000"/>
                <w:sz w:val="20"/>
              </w:rPr>
              <w:t>比例（%）</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500,776,302.81</w:t>
            </w:r>
          </w:p>
        </w:tc>
        <w:tc>
          <w:tcPr>
            <w:tcW w:w="33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98.04%</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left"/>
              <w:textAlignment w:val="center"/>
            </w:pPr>
            <w:r>
              <w:rPr>
                <w:rFonts w:hint="default" w:ascii="宋体" w:hAnsi="宋体" w:eastAsia="宋体"/>
                <w:b w:val="0"/>
                <w:i w:val="0"/>
                <w:color w:val="000000"/>
                <w:sz w:val="20"/>
                <w:u w:val="none"/>
                <w:lang w:eastAsia="zh-CN"/>
              </w:rPr>
              <w:t>其中：银行间/交易所产品</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400,598,653.28</w:t>
            </w:r>
          </w:p>
        </w:tc>
        <w:tc>
          <w:tcPr>
            <w:tcW w:w="33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78.4</w:t>
            </w: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left"/>
              <w:textAlignment w:val="center"/>
            </w:pPr>
            <w:r>
              <w:rPr>
                <w:rFonts w:hint="default" w:ascii="宋体" w:hAnsi="宋体" w:eastAsia="宋体"/>
                <w:b w:val="0"/>
                <w:i w:val="0"/>
                <w:color w:val="000000"/>
                <w:sz w:val="20"/>
                <w:u w:val="none"/>
                <w:lang w:eastAsia="zh-CN"/>
              </w:rPr>
              <w:t xml:space="preserve">      其中：回购</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left"/>
              <w:textAlignment w:val="center"/>
            </w:pPr>
            <w:r>
              <w:rPr>
                <w:rFonts w:hint="default" w:ascii="宋体" w:hAnsi="宋体" w:eastAsia="宋体"/>
                <w:b w:val="0"/>
                <w:i w:val="0"/>
                <w:color w:val="000000"/>
                <w:sz w:val="21"/>
                <w:u w:val="none"/>
                <w:lang w:eastAsia="zh-CN"/>
              </w:rPr>
              <w:t xml:space="preserve">    非银行间</w:t>
            </w:r>
            <w:r>
              <w:rPr>
                <w:rFonts w:hint="default" w:ascii="Calibri" w:hAnsi="宋体"/>
                <w:b w:val="0"/>
                <w:i w:val="0"/>
                <w:color w:val="000000"/>
                <w:sz w:val="21"/>
                <w:u w:val="none"/>
              </w:rPr>
              <w:t>/</w:t>
            </w:r>
            <w:r>
              <w:rPr>
                <w:rFonts w:hint="default" w:ascii="宋体" w:hAnsi="宋体" w:eastAsia="宋体"/>
                <w:b w:val="0"/>
                <w:i w:val="0"/>
                <w:color w:val="000000"/>
                <w:sz w:val="21"/>
                <w:u w:val="none"/>
                <w:lang w:eastAsia="zh-CN"/>
              </w:rPr>
              <w:t>非交易所产品</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100,177,649.53</w:t>
            </w:r>
          </w:p>
        </w:tc>
        <w:tc>
          <w:tcPr>
            <w:tcW w:w="33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19.61%</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ascii="原版宋体" w:hAnsi="原版宋体" w:eastAsia="原版宋体" w:cs="原版宋体"/>
                <w:color w:val="000000"/>
                <w:sz w:val="20"/>
                <w:lang w:val="en-US" w:eastAsia="zh-CN"/>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10,031,295.88</w:t>
            </w:r>
          </w:p>
        </w:tc>
        <w:tc>
          <w:tcPr>
            <w:tcW w:w="33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1.96%</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ascii="原版宋体" w:hAnsi="原版宋体" w:eastAsia="原版宋体" w:cs="原版宋体"/>
                <w:color w:val="000000"/>
                <w:sz w:val="20"/>
                <w:lang w:val="en-US" w:eastAsia="zh-CN"/>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ascii="原版宋体" w:hAnsi="原版宋体" w:eastAsia="原版宋体" w:cs="原版宋体"/>
                <w:color w:val="000000"/>
                <w:sz w:val="20"/>
                <w:lang w:val="en-US" w:eastAsia="zh-CN"/>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510,807,598.69</w:t>
            </w:r>
          </w:p>
        </w:tc>
        <w:tc>
          <w:tcPr>
            <w:tcW w:w="33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95" w:hRule="exact"/>
        </w:trPr>
        <w:tc>
          <w:tcPr>
            <w:tcW w:w="1" w:type="dxa"/>
            <w:vAlign w:val="top"/>
          </w:tcPr>
          <w:p>
            <w:pPr>
              <w:pStyle w:val="4"/>
            </w:pPr>
          </w:p>
        </w:tc>
        <w:tc>
          <w:tcPr>
            <w:tcW w:w="800" w:type="dxa"/>
            <w:vAlign w:val="top"/>
          </w:tcPr>
          <w:p>
            <w:pPr>
              <w:pStyle w:val="4"/>
            </w:pPr>
          </w:p>
        </w:tc>
        <w:tc>
          <w:tcPr>
            <w:tcW w:w="2600" w:type="dxa"/>
            <w:gridSpan w:val="3"/>
            <w:vAlign w:val="top"/>
          </w:tcPr>
          <w:p>
            <w:pPr>
              <w:pStyle w:val="4"/>
            </w:pPr>
          </w:p>
        </w:tc>
        <w:tc>
          <w:tcPr>
            <w:tcW w:w="600" w:type="dxa"/>
            <w:gridSpan w:val="2"/>
            <w:vAlign w:val="top"/>
          </w:tcPr>
          <w:p>
            <w:pPr>
              <w:pStyle w:val="4"/>
            </w:pPr>
          </w:p>
        </w:tc>
        <w:tc>
          <w:tcPr>
            <w:tcW w:w="20" w:type="dxa"/>
            <w:vAlign w:val="top"/>
          </w:tcPr>
          <w:p>
            <w:pPr>
              <w:pStyle w:val="4"/>
            </w:pPr>
          </w:p>
        </w:tc>
        <w:tc>
          <w:tcPr>
            <w:tcW w:w="3380" w:type="dxa"/>
            <w:gridSpan w:val="5"/>
            <w:vAlign w:val="top"/>
          </w:tcPr>
          <w:p>
            <w:pPr>
              <w:pStyle w:val="4"/>
            </w:pPr>
          </w:p>
        </w:tc>
        <w:tc>
          <w:tcPr>
            <w:tcW w:w="220" w:type="dxa"/>
            <w:vAlign w:val="top"/>
          </w:tcPr>
          <w:p>
            <w:pPr>
              <w:pStyle w:val="4"/>
            </w:pPr>
          </w:p>
        </w:tc>
        <w:tc>
          <w:tcPr>
            <w:tcW w:w="3080" w:type="dxa"/>
            <w:gridSpan w:val="5"/>
            <w:vAlign w:val="top"/>
          </w:tcPr>
          <w:p>
            <w:pPr>
              <w:pStyle w:val="4"/>
            </w:pP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10700" w:type="dxa"/>
            <w:gridSpan w:val="18"/>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.2 报告期末按债券品种分类的债券投资组合</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w:t>
            </w:r>
            <w:r>
              <w:rPr>
                <w:rFonts w:hint="eastAsia" w:ascii="原版宋体" w:hAnsi="原版宋体" w:eastAsia="原版宋体" w:cs="原版宋体"/>
                <w:b/>
                <w:color w:val="000000"/>
                <w:sz w:val="20"/>
                <w:lang w:val="en-US" w:eastAsia="zh-CN"/>
              </w:rPr>
              <w:t>组合</w:t>
            </w:r>
            <w:r>
              <w:rPr>
                <w:rFonts w:ascii="原版宋体" w:hAnsi="原版宋体" w:eastAsia="原版宋体" w:cs="原版宋体"/>
                <w:b/>
                <w:color w:val="000000"/>
                <w:sz w:val="20"/>
              </w:rPr>
              <w:t>比例（％）</w:t>
            </w: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400,598,653.28</w:t>
            </w:r>
          </w:p>
        </w:tc>
        <w:tc>
          <w:tcPr>
            <w:tcW w:w="3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78.4</w:t>
            </w: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w:t>
            </w: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auto" w:sz="4"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auto" w:sz="4"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6"/>
            <w:tcBorders>
              <w:top w:val="single" w:color="000000" w:sz="8" w:space="0"/>
              <w:left w:val="single" w:color="000000" w:sz="8" w:space="0"/>
              <w:bottom w:val="single" w:color="auto" w:sz="4"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6"/>
            <w:tcBorders>
              <w:top w:val="single" w:color="000000" w:sz="8" w:space="0"/>
              <w:left w:val="single" w:color="000000" w:sz="8" w:space="0"/>
              <w:bottom w:val="single" w:color="auto" w:sz="4"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tcBorders>
              <w:right w:val="single" w:color="auto" w:sz="4" w:space="0"/>
            </w:tcBorders>
            <w:vAlign w:val="top"/>
          </w:tcPr>
          <w:p>
            <w:pPr>
              <w:pStyle w:val="4"/>
            </w:pPr>
          </w:p>
        </w:tc>
        <w:tc>
          <w:tcPr>
            <w:tcW w:w="800" w:type="dxa"/>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6"/>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400,598,653.28</w:t>
            </w:r>
          </w:p>
        </w:tc>
        <w:tc>
          <w:tcPr>
            <w:tcW w:w="3100" w:type="dxa"/>
            <w:gridSpan w:val="6"/>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78.4</w:t>
            </w:r>
            <w:r>
              <w:rPr>
                <w:rFonts w:hint="eastAsia" w:ascii="原版宋体" w:hAnsi="原版宋体" w:eastAsia="原版宋体" w:cs="原版宋体"/>
                <w:color w:val="000000"/>
                <w:sz w:val="20"/>
                <w:lang w:val="en-US" w:eastAsia="zh-CN"/>
              </w:rPr>
              <w:t>3</w:t>
            </w:r>
            <w:bookmarkStart w:id="2" w:name="_GoBack"/>
            <w:bookmarkEnd w:id="2"/>
            <w:r>
              <w:rPr>
                <w:rFonts w:ascii="原版宋体" w:hAnsi="原版宋体" w:eastAsia="原版宋体" w:cs="原版宋体"/>
                <w:color w:val="000000"/>
                <w:sz w:val="20"/>
              </w:rPr>
              <w:t>%</w:t>
            </w:r>
          </w:p>
        </w:tc>
        <w:tc>
          <w:tcPr>
            <w:tcW w:w="780" w:type="dxa"/>
            <w:tcBorders>
              <w:left w:val="single" w:color="auto" w:sz="4" w:space="0"/>
              <w:bottom w:val="nil"/>
            </w:tcBorders>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333" w:hRule="exact"/>
        </w:trPr>
        <w:tc>
          <w:tcPr>
            <w:tcW w:w="1" w:type="dxa"/>
            <w:tcBorders>
              <w:right w:val="nil"/>
            </w:tcBorders>
            <w:vAlign w:val="top"/>
          </w:tcPr>
          <w:p>
            <w:pPr>
              <w:pStyle w:val="4"/>
            </w:pPr>
            <w:bookmarkStart w:id="1" w:name="JR_PAGE_ANCHOR_0_3"/>
            <w:bookmarkEnd w:id="1"/>
          </w:p>
        </w:tc>
        <w:tc>
          <w:tcPr>
            <w:tcW w:w="10460" w:type="dxa"/>
            <w:gridSpan w:val="16"/>
            <w:tcBorders>
              <w:top w:val="nil"/>
              <w:left w:val="nil"/>
              <w:bottom w:val="nil"/>
              <w:right w:val="nil"/>
            </w:tcBorders>
            <w:tcMar>
              <w:top w:w="0" w:type="dxa"/>
              <w:left w:w="80" w:type="dxa"/>
              <w:bottom w:w="0" w:type="dxa"/>
              <w:right w:w="0" w:type="dxa"/>
            </w:tcMar>
            <w:vAlign w:val="center"/>
          </w:tcPr>
          <w:p>
            <w:pPr>
              <w:spacing w:before="0" w:after="0" w:line="360" w:lineRule="auto"/>
              <w:rPr>
                <w:rFonts w:hint="eastAsia" w:ascii="原版宋体" w:hAnsi="原版宋体" w:eastAsia="原版宋体" w:cs="原版宋体"/>
                <w:color w:val="000000"/>
                <w:sz w:val="20"/>
                <w:lang w:val="en-US" w:eastAsia="zh-CN"/>
              </w:rPr>
            </w:pPr>
          </w:p>
        </w:tc>
        <w:tc>
          <w:tcPr>
            <w:tcW w:w="240" w:type="dxa"/>
            <w:gridSpan w:val="2"/>
            <w:tcBorders>
              <w:top w:val="nil"/>
              <w:left w:val="nil"/>
              <w:bottom w:val="nil"/>
              <w:right w:val="nil"/>
            </w:tcBorders>
            <w:vAlign w:val="top"/>
          </w:tcPr>
          <w:p>
            <w:pPr>
              <w:spacing w:before="0" w:after="0" w:line="360" w:lineRule="auto"/>
              <w:rPr>
                <w:rFonts w:hint="eastAsia" w:ascii="原版宋体" w:hAnsi="原版宋体" w:eastAsia="原版宋体" w:cs="原版宋体"/>
                <w:color w:val="000000"/>
                <w:sz w:val="20"/>
                <w:lang w:val="en-US" w:eastAsia="zh-CN"/>
              </w:rPr>
            </w:pPr>
          </w:p>
        </w:tc>
        <w:tc>
          <w:tcPr>
            <w:tcW w:w="800" w:type="dxa"/>
            <w:gridSpan w:val="2"/>
            <w:tcBorders>
              <w:top w:val="nil"/>
              <w:left w:val="nil"/>
              <w:bottom w:val="nil"/>
            </w:tcBorders>
            <w:vAlign w:val="top"/>
          </w:tcPr>
          <w:p>
            <w:pPr>
              <w:spacing w:before="0" w:after="0" w:line="360" w:lineRule="auto"/>
              <w:rPr>
                <w:rFonts w:hint="eastAsia" w:ascii="原版宋体" w:hAnsi="原版宋体" w:eastAsia="原版宋体" w:cs="原版宋体"/>
                <w:color w:val="000000"/>
                <w:sz w:val="20"/>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333" w:hRule="exact"/>
        </w:trPr>
        <w:tc>
          <w:tcPr>
            <w:tcW w:w="1" w:type="dxa"/>
            <w:tcBorders>
              <w:right w:val="nil"/>
            </w:tcBorders>
            <w:vAlign w:val="top"/>
          </w:tcPr>
          <w:p>
            <w:pPr>
              <w:pStyle w:val="4"/>
            </w:pPr>
          </w:p>
        </w:tc>
        <w:tc>
          <w:tcPr>
            <w:tcW w:w="10460" w:type="dxa"/>
            <w:gridSpan w:val="16"/>
            <w:tcBorders>
              <w:top w:val="nil"/>
              <w:left w:val="nil"/>
              <w:bottom w:val="single" w:color="auto" w:sz="4" w:space="0"/>
              <w:right w:val="nil"/>
            </w:tcBorders>
            <w:tcMar>
              <w:top w:w="0" w:type="dxa"/>
              <w:left w:w="80" w:type="dxa"/>
              <w:bottom w:w="0" w:type="dxa"/>
              <w:right w:w="0" w:type="dxa"/>
            </w:tcMar>
            <w:vAlign w:val="center"/>
          </w:tcPr>
          <w:p>
            <w:pPr>
              <w:spacing w:before="0" w:after="0" w:line="360" w:lineRule="auto"/>
              <w:rPr>
                <w:rFonts w:hint="eastAsia" w:ascii="原版宋体" w:hAnsi="原版宋体" w:eastAsia="原版宋体" w:cs="原版宋体"/>
                <w:color w:val="000000"/>
                <w:sz w:val="20"/>
                <w:lang w:val="en-US" w:eastAsia="zh-CN"/>
              </w:rPr>
            </w:pPr>
            <w:r>
              <w:rPr>
                <w:rFonts w:hint="eastAsia" w:ascii="原版宋体" w:hAnsi="原版宋体" w:eastAsia="原版宋体" w:cs="原版宋体"/>
                <w:color w:val="000000"/>
                <w:sz w:val="20"/>
                <w:lang w:val="en-US" w:eastAsia="zh-CN"/>
              </w:rPr>
              <w:t>3.3 报告期末按市值占产品资产净值比例大小排名的前十名资产投资明细</w:t>
            </w:r>
          </w:p>
        </w:tc>
        <w:tc>
          <w:tcPr>
            <w:tcW w:w="240" w:type="dxa"/>
            <w:gridSpan w:val="2"/>
            <w:tcBorders>
              <w:top w:val="nil"/>
              <w:left w:val="nil"/>
              <w:bottom w:val="nil"/>
              <w:right w:val="nil"/>
            </w:tcBorders>
            <w:vAlign w:val="top"/>
          </w:tcPr>
          <w:p>
            <w:pPr>
              <w:spacing w:before="0" w:after="0" w:line="360" w:lineRule="auto"/>
              <w:rPr>
                <w:rFonts w:hint="eastAsia" w:ascii="原版宋体" w:hAnsi="原版宋体" w:eastAsia="原版宋体" w:cs="原版宋体"/>
                <w:color w:val="000000"/>
                <w:sz w:val="20"/>
                <w:lang w:val="en-US" w:eastAsia="zh-CN"/>
              </w:rPr>
            </w:pPr>
          </w:p>
        </w:tc>
        <w:tc>
          <w:tcPr>
            <w:tcW w:w="800" w:type="dxa"/>
            <w:gridSpan w:val="2"/>
            <w:tcBorders>
              <w:top w:val="nil"/>
              <w:left w:val="nil"/>
              <w:bottom w:val="nil"/>
            </w:tcBorders>
            <w:vAlign w:val="top"/>
          </w:tcPr>
          <w:p>
            <w:pPr>
              <w:spacing w:before="0" w:after="0" w:line="360" w:lineRule="auto"/>
              <w:rPr>
                <w:rFonts w:hint="eastAsia" w:ascii="原版宋体" w:hAnsi="原版宋体" w:eastAsia="原版宋体" w:cs="原版宋体"/>
                <w:color w:val="000000"/>
                <w:sz w:val="20"/>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180" w:hRule="exact"/>
        </w:trPr>
        <w:tc>
          <w:tcPr>
            <w:tcW w:w="1" w:type="dxa"/>
            <w:tcBorders>
              <w:right w:val="single" w:color="auto" w:sz="4" w:space="0"/>
            </w:tcBorders>
            <w:vAlign w:val="top"/>
          </w:tcPr>
          <w:p>
            <w:pPr>
              <w:pStyle w:val="4"/>
            </w:pPr>
          </w:p>
        </w:tc>
        <w:tc>
          <w:tcPr>
            <w:tcW w:w="800" w:type="dxa"/>
            <w:vMerge w:val="restart"/>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vMerge w:val="restart"/>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623" w:type="dxa"/>
            <w:gridSpan w:val="7"/>
            <w:vMerge w:val="restart"/>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1577" w:type="dxa"/>
            <w:gridSpan w:val="2"/>
            <w:vMerge w:val="restart"/>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1906" w:type="dxa"/>
            <w:gridSpan w:val="3"/>
            <w:vMerge w:val="restart"/>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554" w:type="dxa"/>
            <w:gridSpan w:val="2"/>
            <w:vMerge w:val="restart"/>
            <w:tcBorders>
              <w:top w:val="single" w:color="auto" w:sz="4" w:space="0"/>
              <w:left w:val="single" w:color="auto" w:sz="4" w:space="0"/>
              <w:bottom w:val="single" w:color="auto" w:sz="4" w:space="0"/>
              <w:right w:val="single" w:color="auto" w:sz="4"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w:t>
            </w:r>
            <w:r>
              <w:rPr>
                <w:rFonts w:hint="eastAsia" w:ascii="原版宋体" w:hAnsi="原版宋体" w:eastAsia="原版宋体" w:cs="原版宋体"/>
                <w:b/>
                <w:color w:val="000000"/>
                <w:sz w:val="20"/>
                <w:lang w:eastAsia="zh-CN"/>
              </w:rPr>
              <w:t>资产</w:t>
            </w:r>
            <w:r>
              <w:rPr>
                <w:rFonts w:hint="eastAsia" w:ascii="原版宋体" w:hAnsi="原版宋体" w:eastAsia="原版宋体" w:cs="原版宋体"/>
                <w:b/>
                <w:color w:val="000000"/>
                <w:sz w:val="20"/>
                <w:lang w:val="en-US" w:eastAsia="zh-CN"/>
              </w:rPr>
              <w:t>组合</w:t>
            </w:r>
            <w:r>
              <w:rPr>
                <w:rFonts w:ascii="原版宋体" w:hAnsi="原版宋体" w:eastAsia="原版宋体" w:cs="原版宋体"/>
                <w:b/>
                <w:color w:val="000000"/>
                <w:sz w:val="20"/>
              </w:rPr>
              <w:t>比例（％）</w:t>
            </w:r>
          </w:p>
        </w:tc>
        <w:tc>
          <w:tcPr>
            <w:tcW w:w="240" w:type="dxa"/>
            <w:gridSpan w:val="2"/>
            <w:tcBorders>
              <w:top w:val="nil"/>
              <w:left w:val="single" w:color="auto" w:sz="4" w:space="0"/>
              <w:bottom w:val="nil"/>
            </w:tcBorders>
            <w:vAlign w:val="top"/>
          </w:tcPr>
          <w:p>
            <w:pPr>
              <w:pStyle w:val="4"/>
            </w:pPr>
          </w:p>
        </w:tc>
        <w:tc>
          <w:tcPr>
            <w:tcW w:w="800" w:type="dxa"/>
            <w:gridSpan w:val="2"/>
            <w:tcBorders>
              <w:top w:val="nil"/>
              <w:bottom w:val="nil"/>
            </w:tcBorders>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tcBorders>
              <w:right w:val="single" w:color="auto" w:sz="4" w:space="0"/>
            </w:tcBorders>
            <w:vAlign w:val="top"/>
          </w:tcPr>
          <w:p>
            <w:pPr>
              <w:pStyle w:val="4"/>
            </w:pPr>
          </w:p>
        </w:tc>
        <w:tc>
          <w:tcPr>
            <w:tcW w:w="800" w:type="dxa"/>
            <w:vMerge w:val="continue"/>
            <w:tcBorders>
              <w:top w:val="single" w:color="auto" w:sz="4" w:space="0"/>
              <w:left w:val="single" w:color="auto" w:sz="4" w:space="0"/>
              <w:bottom w:val="single" w:color="auto" w:sz="4" w:space="0"/>
              <w:right w:val="single" w:color="000000" w:sz="8" w:space="0"/>
            </w:tcBorders>
            <w:tcMar>
              <w:top w:w="0" w:type="dxa"/>
              <w:left w:w="80" w:type="dxa"/>
              <w:bottom w:w="0" w:type="dxa"/>
              <w:right w:w="0" w:type="dxa"/>
            </w:tcMar>
            <w:vAlign w:val="center"/>
          </w:tcPr>
          <w:p>
            <w:pPr>
              <w:pStyle w:val="4"/>
            </w:pPr>
          </w:p>
        </w:tc>
        <w:tc>
          <w:tcPr>
            <w:tcW w:w="2000" w:type="dxa"/>
            <w:vMerge w:val="continue"/>
            <w:tcBorders>
              <w:top w:val="single" w:color="auto" w:sz="4" w:space="0"/>
              <w:left w:val="single" w:color="000000" w:sz="8" w:space="0"/>
              <w:bottom w:val="single" w:color="auto" w:sz="4" w:space="0"/>
              <w:right w:val="single" w:color="000000" w:sz="8" w:space="0"/>
            </w:tcBorders>
            <w:tcMar>
              <w:top w:w="0" w:type="dxa"/>
              <w:left w:w="80" w:type="dxa"/>
              <w:bottom w:w="0" w:type="dxa"/>
              <w:right w:w="0" w:type="dxa"/>
            </w:tcMar>
            <w:vAlign w:val="center"/>
          </w:tcPr>
          <w:p>
            <w:pPr>
              <w:pStyle w:val="4"/>
            </w:pPr>
          </w:p>
        </w:tc>
        <w:tc>
          <w:tcPr>
            <w:tcW w:w="2623" w:type="dxa"/>
            <w:gridSpan w:val="7"/>
            <w:vMerge w:val="continue"/>
            <w:tcBorders>
              <w:top w:val="single" w:color="auto" w:sz="4" w:space="0"/>
              <w:left w:val="single" w:color="000000" w:sz="8" w:space="0"/>
              <w:bottom w:val="single" w:color="auto" w:sz="4" w:space="0"/>
              <w:right w:val="single" w:color="000000" w:sz="8" w:space="0"/>
            </w:tcBorders>
            <w:tcMar>
              <w:top w:w="0" w:type="dxa"/>
              <w:left w:w="80" w:type="dxa"/>
              <w:bottom w:w="0" w:type="dxa"/>
              <w:right w:w="0" w:type="dxa"/>
            </w:tcMar>
            <w:vAlign w:val="center"/>
          </w:tcPr>
          <w:p>
            <w:pPr>
              <w:pStyle w:val="4"/>
            </w:pPr>
          </w:p>
        </w:tc>
        <w:tc>
          <w:tcPr>
            <w:tcW w:w="1577" w:type="dxa"/>
            <w:gridSpan w:val="2"/>
            <w:vMerge w:val="continue"/>
            <w:tcBorders>
              <w:top w:val="single" w:color="auto" w:sz="4" w:space="0"/>
              <w:left w:val="single" w:color="000000" w:sz="8" w:space="0"/>
              <w:bottom w:val="single" w:color="auto" w:sz="4" w:space="0"/>
              <w:right w:val="single" w:color="000000" w:sz="8" w:space="0"/>
            </w:tcBorders>
            <w:tcMar>
              <w:top w:w="0" w:type="dxa"/>
              <w:left w:w="80" w:type="dxa"/>
              <w:bottom w:w="0" w:type="dxa"/>
              <w:right w:w="0" w:type="dxa"/>
            </w:tcMar>
            <w:vAlign w:val="center"/>
          </w:tcPr>
          <w:p>
            <w:pPr>
              <w:pStyle w:val="4"/>
            </w:pPr>
          </w:p>
        </w:tc>
        <w:tc>
          <w:tcPr>
            <w:tcW w:w="1906" w:type="dxa"/>
            <w:gridSpan w:val="3"/>
            <w:vMerge w:val="continue"/>
            <w:tcBorders>
              <w:top w:val="single" w:color="auto" w:sz="4" w:space="0"/>
              <w:left w:val="single" w:color="000000" w:sz="8" w:space="0"/>
              <w:bottom w:val="single" w:color="auto" w:sz="4" w:space="0"/>
              <w:right w:val="single" w:color="000000" w:sz="8" w:space="0"/>
            </w:tcBorders>
            <w:tcMar>
              <w:top w:w="0" w:type="dxa"/>
              <w:left w:w="80" w:type="dxa"/>
              <w:bottom w:w="0" w:type="dxa"/>
              <w:right w:w="0" w:type="dxa"/>
            </w:tcMar>
            <w:vAlign w:val="center"/>
          </w:tcPr>
          <w:p>
            <w:pPr>
              <w:pStyle w:val="4"/>
            </w:pPr>
          </w:p>
        </w:tc>
        <w:tc>
          <w:tcPr>
            <w:tcW w:w="1554" w:type="dxa"/>
            <w:gridSpan w:val="2"/>
            <w:vMerge w:val="continue"/>
            <w:tcBorders>
              <w:top w:val="single" w:color="auto" w:sz="4" w:space="0"/>
              <w:left w:val="single" w:color="000000" w:sz="8" w:space="0"/>
              <w:bottom w:val="single" w:color="auto" w:sz="4" w:space="0"/>
              <w:right w:val="single" w:color="auto" w:sz="4" w:space="0"/>
            </w:tcBorders>
            <w:tcMar>
              <w:top w:w="0" w:type="dxa"/>
              <w:left w:w="80" w:type="dxa"/>
              <w:bottom w:w="0" w:type="dxa"/>
              <w:right w:w="0" w:type="dxa"/>
            </w:tcMar>
            <w:vAlign w:val="center"/>
          </w:tcPr>
          <w:p>
            <w:pPr>
              <w:pStyle w:val="4"/>
            </w:pPr>
          </w:p>
        </w:tc>
        <w:tc>
          <w:tcPr>
            <w:tcW w:w="240" w:type="dxa"/>
            <w:gridSpan w:val="2"/>
            <w:tcBorders>
              <w:top w:val="nil"/>
              <w:left w:val="single" w:color="auto" w:sz="4" w:space="0"/>
            </w:tcBorders>
            <w:vAlign w:val="top"/>
          </w:tcPr>
          <w:p>
            <w:pPr>
              <w:pStyle w:val="4"/>
            </w:pPr>
          </w:p>
        </w:tc>
        <w:tc>
          <w:tcPr>
            <w:tcW w:w="800" w:type="dxa"/>
            <w:gridSpan w:val="2"/>
            <w:tcBorders>
              <w:top w:val="nil"/>
            </w:tcBorders>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680" w:hRule="exact"/>
        </w:trPr>
        <w:tc>
          <w:tcPr>
            <w:tcW w:w="1" w:type="dxa"/>
            <w:vAlign w:val="top"/>
          </w:tcPr>
          <w:p>
            <w:pPr>
              <w:pStyle w:val="4"/>
            </w:pPr>
          </w:p>
        </w:tc>
        <w:tc>
          <w:tcPr>
            <w:tcW w:w="800" w:type="dxa"/>
            <w:tcBorders>
              <w:top w:val="single" w:color="auto" w:sz="4"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tcBorders>
              <w:top w:val="single" w:color="auto" w:sz="4"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fbzc-zg2019042901               </w:t>
            </w:r>
          </w:p>
        </w:tc>
        <w:tc>
          <w:tcPr>
            <w:tcW w:w="2623" w:type="dxa"/>
            <w:gridSpan w:val="7"/>
            <w:tcBorders>
              <w:top w:val="single" w:color="auto" w:sz="4"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中海汇誉2019-49金华城投专项债权投资集合资金信托计划</w:t>
            </w:r>
          </w:p>
        </w:tc>
        <w:tc>
          <w:tcPr>
            <w:tcW w:w="1577" w:type="dxa"/>
            <w:gridSpan w:val="2"/>
            <w:tcBorders>
              <w:top w:val="single" w:color="auto" w:sz="4"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1906" w:type="dxa"/>
            <w:gridSpan w:val="3"/>
            <w:tcBorders>
              <w:top w:val="single" w:color="auto" w:sz="4"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100,177,649.53</w:t>
            </w:r>
          </w:p>
        </w:tc>
        <w:tc>
          <w:tcPr>
            <w:tcW w:w="1554" w:type="dxa"/>
            <w:gridSpan w:val="2"/>
            <w:tcBorders>
              <w:top w:val="single" w:color="auto" w:sz="4"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19.6</w:t>
            </w:r>
            <w:r>
              <w:rPr>
                <w:rFonts w:hint="eastAsia" w:ascii="原版宋体" w:hAnsi="原版宋体" w:eastAsia="原版宋体" w:cs="原版宋体"/>
                <w:color w:val="000000"/>
                <w:sz w:val="20"/>
                <w:lang w:val="en-US" w:eastAsia="zh-CN"/>
              </w:rPr>
              <w:t>1</w:t>
            </w:r>
            <w:r>
              <w:rPr>
                <w:rFonts w:ascii="原版宋体" w:hAnsi="原版宋体" w:eastAsia="原版宋体" w:cs="原版宋体"/>
                <w:color w:val="000000"/>
                <w:sz w:val="20"/>
              </w:rPr>
              <w:t>%</w:t>
            </w:r>
          </w:p>
        </w:tc>
        <w:tc>
          <w:tcPr>
            <w:tcW w:w="240" w:type="dxa"/>
            <w:gridSpan w:val="2"/>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101900506       </w:t>
            </w:r>
          </w:p>
        </w:tc>
        <w:tc>
          <w:tcPr>
            <w:tcW w:w="2623"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19南京浦口MTN002</w:t>
            </w:r>
          </w:p>
        </w:tc>
        <w:tc>
          <w:tcPr>
            <w:tcW w:w="1577"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1906"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53,317,797.57</w:t>
            </w:r>
          </w:p>
        </w:tc>
        <w:tc>
          <w:tcPr>
            <w:tcW w:w="1554"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10.4</w:t>
            </w:r>
            <w:r>
              <w:rPr>
                <w:rFonts w:hint="eastAsia" w:ascii="原版宋体" w:hAnsi="原版宋体" w:eastAsia="原版宋体" w:cs="原版宋体"/>
                <w:color w:val="000000"/>
                <w:sz w:val="20"/>
                <w:lang w:val="en-US" w:eastAsia="zh-CN"/>
              </w:rPr>
              <w:t>4</w:t>
            </w:r>
            <w:r>
              <w:rPr>
                <w:rFonts w:ascii="原版宋体" w:hAnsi="原版宋体" w:eastAsia="原版宋体" w:cs="原版宋体"/>
                <w:color w:val="000000"/>
                <w:sz w:val="20"/>
              </w:rPr>
              <w:t>%</w:t>
            </w:r>
          </w:p>
        </w:tc>
        <w:tc>
          <w:tcPr>
            <w:tcW w:w="240" w:type="dxa"/>
            <w:gridSpan w:val="2"/>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101753030       </w:t>
            </w:r>
          </w:p>
        </w:tc>
        <w:tc>
          <w:tcPr>
            <w:tcW w:w="2623"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17宇通MTN001</w:t>
            </w:r>
          </w:p>
        </w:tc>
        <w:tc>
          <w:tcPr>
            <w:tcW w:w="1577"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1906"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51,162,321.96</w:t>
            </w:r>
          </w:p>
        </w:tc>
        <w:tc>
          <w:tcPr>
            <w:tcW w:w="1554"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w:t>
            </w:r>
            <w:r>
              <w:rPr>
                <w:rFonts w:hint="eastAsia" w:ascii="原版宋体" w:hAnsi="原版宋体" w:eastAsia="原版宋体" w:cs="原版宋体"/>
                <w:color w:val="000000"/>
                <w:sz w:val="20"/>
                <w:lang w:val="en-US" w:eastAsia="zh-CN"/>
              </w:rPr>
              <w:t>2</w:t>
            </w:r>
            <w:r>
              <w:rPr>
                <w:rFonts w:ascii="原版宋体" w:hAnsi="原版宋体" w:eastAsia="原版宋体" w:cs="原版宋体"/>
                <w:color w:val="000000"/>
                <w:sz w:val="20"/>
              </w:rPr>
              <w:t>%</w:t>
            </w:r>
          </w:p>
        </w:tc>
        <w:tc>
          <w:tcPr>
            <w:tcW w:w="240" w:type="dxa"/>
            <w:gridSpan w:val="2"/>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031764028       </w:t>
            </w:r>
          </w:p>
        </w:tc>
        <w:tc>
          <w:tcPr>
            <w:tcW w:w="2623"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17兴荣控股PPN001</w:t>
            </w:r>
          </w:p>
        </w:tc>
        <w:tc>
          <w:tcPr>
            <w:tcW w:w="1577"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43,000,000.00</w:t>
            </w:r>
          </w:p>
        </w:tc>
        <w:tc>
          <w:tcPr>
            <w:tcW w:w="1906"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44,588,506.42</w:t>
            </w:r>
          </w:p>
        </w:tc>
        <w:tc>
          <w:tcPr>
            <w:tcW w:w="1554"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w:t>
            </w: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w:t>
            </w:r>
          </w:p>
        </w:tc>
        <w:tc>
          <w:tcPr>
            <w:tcW w:w="240" w:type="dxa"/>
            <w:gridSpan w:val="2"/>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031771017       </w:t>
            </w:r>
          </w:p>
        </w:tc>
        <w:tc>
          <w:tcPr>
            <w:tcW w:w="2623"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17常城建PPN001</w:t>
            </w:r>
          </w:p>
        </w:tc>
        <w:tc>
          <w:tcPr>
            <w:tcW w:w="1577"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1906"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42,139,684.84</w:t>
            </w:r>
          </w:p>
        </w:tc>
        <w:tc>
          <w:tcPr>
            <w:tcW w:w="1554"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8.2</w:t>
            </w:r>
            <w:r>
              <w:rPr>
                <w:rFonts w:hint="eastAsia" w:ascii="原版宋体" w:hAnsi="原版宋体" w:eastAsia="原版宋体" w:cs="原版宋体"/>
                <w:color w:val="000000"/>
                <w:sz w:val="20"/>
                <w:lang w:val="en-US" w:eastAsia="zh-CN"/>
              </w:rPr>
              <w:t>5</w:t>
            </w:r>
            <w:r>
              <w:rPr>
                <w:rFonts w:ascii="原版宋体" w:hAnsi="原版宋体" w:eastAsia="原版宋体" w:cs="原版宋体"/>
                <w:color w:val="000000"/>
                <w:sz w:val="20"/>
              </w:rPr>
              <w:t>%</w:t>
            </w:r>
          </w:p>
        </w:tc>
        <w:tc>
          <w:tcPr>
            <w:tcW w:w="240" w:type="dxa"/>
            <w:gridSpan w:val="2"/>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031760025       </w:t>
            </w:r>
          </w:p>
        </w:tc>
        <w:tc>
          <w:tcPr>
            <w:tcW w:w="2623"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17南浦口PPN001</w:t>
            </w:r>
          </w:p>
        </w:tc>
        <w:tc>
          <w:tcPr>
            <w:tcW w:w="1577"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1906"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41,756,383.21</w:t>
            </w:r>
          </w:p>
        </w:tc>
        <w:tc>
          <w:tcPr>
            <w:tcW w:w="1554"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w:t>
            </w:r>
            <w:r>
              <w:rPr>
                <w:rFonts w:hint="eastAsia" w:ascii="原版宋体" w:hAnsi="原版宋体" w:eastAsia="原版宋体" w:cs="原版宋体"/>
                <w:color w:val="000000"/>
                <w:sz w:val="20"/>
                <w:lang w:val="en-US" w:eastAsia="zh-CN"/>
              </w:rPr>
              <w:t>17</w:t>
            </w:r>
            <w:r>
              <w:rPr>
                <w:rFonts w:ascii="原版宋体" w:hAnsi="原版宋体" w:eastAsia="原版宋体" w:cs="原版宋体"/>
                <w:color w:val="000000"/>
                <w:sz w:val="20"/>
              </w:rPr>
              <w:t>%</w:t>
            </w:r>
          </w:p>
        </w:tc>
        <w:tc>
          <w:tcPr>
            <w:tcW w:w="240" w:type="dxa"/>
            <w:gridSpan w:val="2"/>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031775014       </w:t>
            </w:r>
          </w:p>
        </w:tc>
        <w:tc>
          <w:tcPr>
            <w:tcW w:w="2623"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17江宁交通PPN001</w:t>
            </w:r>
          </w:p>
        </w:tc>
        <w:tc>
          <w:tcPr>
            <w:tcW w:w="1577"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1906"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41,677,069.03</w:t>
            </w:r>
          </w:p>
        </w:tc>
        <w:tc>
          <w:tcPr>
            <w:tcW w:w="1554"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8.1</w:t>
            </w:r>
            <w:r>
              <w:rPr>
                <w:rFonts w:hint="eastAsia" w:ascii="原版宋体" w:hAnsi="原版宋体" w:eastAsia="原版宋体" w:cs="原版宋体"/>
                <w:color w:val="000000"/>
                <w:sz w:val="20"/>
                <w:lang w:val="en-US" w:eastAsia="zh-CN"/>
              </w:rPr>
              <w:t>6</w:t>
            </w:r>
            <w:r>
              <w:rPr>
                <w:rFonts w:ascii="原版宋体" w:hAnsi="原版宋体" w:eastAsia="原版宋体" w:cs="原版宋体"/>
                <w:color w:val="000000"/>
                <w:sz w:val="20"/>
              </w:rPr>
              <w:t>%</w:t>
            </w:r>
          </w:p>
        </w:tc>
        <w:tc>
          <w:tcPr>
            <w:tcW w:w="240" w:type="dxa"/>
            <w:gridSpan w:val="2"/>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031671031       </w:t>
            </w:r>
          </w:p>
        </w:tc>
        <w:tc>
          <w:tcPr>
            <w:tcW w:w="2623"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16滨湖建设PPN001</w:t>
            </w:r>
          </w:p>
        </w:tc>
        <w:tc>
          <w:tcPr>
            <w:tcW w:w="1577"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1906"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41,324,913.13</w:t>
            </w:r>
          </w:p>
        </w:tc>
        <w:tc>
          <w:tcPr>
            <w:tcW w:w="1554"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w:t>
            </w:r>
            <w:r>
              <w:rPr>
                <w:rFonts w:hint="eastAsia" w:ascii="原版宋体" w:hAnsi="原版宋体" w:eastAsia="原版宋体" w:cs="原版宋体"/>
                <w:color w:val="000000"/>
                <w:sz w:val="20"/>
                <w:lang w:val="en-US" w:eastAsia="zh-CN"/>
              </w:rPr>
              <w:t>09</w:t>
            </w:r>
            <w:r>
              <w:rPr>
                <w:rFonts w:ascii="原版宋体" w:hAnsi="原版宋体" w:eastAsia="原版宋体" w:cs="原版宋体"/>
                <w:color w:val="000000"/>
                <w:sz w:val="20"/>
              </w:rPr>
              <w:t>%</w:t>
            </w:r>
          </w:p>
        </w:tc>
        <w:tc>
          <w:tcPr>
            <w:tcW w:w="240" w:type="dxa"/>
            <w:gridSpan w:val="2"/>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101800398       </w:t>
            </w:r>
          </w:p>
        </w:tc>
        <w:tc>
          <w:tcPr>
            <w:tcW w:w="2623"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18广州地铁MTN002</w:t>
            </w:r>
          </w:p>
        </w:tc>
        <w:tc>
          <w:tcPr>
            <w:tcW w:w="1577"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1906"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33,039,978.20</w:t>
            </w:r>
          </w:p>
        </w:tc>
        <w:tc>
          <w:tcPr>
            <w:tcW w:w="1554"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6.4</w:t>
            </w:r>
            <w:r>
              <w:rPr>
                <w:rFonts w:hint="eastAsia" w:ascii="原版宋体" w:hAnsi="原版宋体" w:eastAsia="原版宋体" w:cs="原版宋体"/>
                <w:color w:val="000000"/>
                <w:sz w:val="20"/>
                <w:lang w:val="en-US" w:eastAsia="zh-CN"/>
              </w:rPr>
              <w:t>7</w:t>
            </w:r>
            <w:r>
              <w:rPr>
                <w:rFonts w:ascii="原版宋体" w:hAnsi="原版宋体" w:eastAsia="原版宋体" w:cs="原版宋体"/>
                <w:color w:val="000000"/>
                <w:sz w:val="20"/>
              </w:rPr>
              <w:t>%</w:t>
            </w:r>
          </w:p>
        </w:tc>
        <w:tc>
          <w:tcPr>
            <w:tcW w:w="240" w:type="dxa"/>
            <w:gridSpan w:val="2"/>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163019        </w:t>
            </w:r>
          </w:p>
        </w:tc>
        <w:tc>
          <w:tcPr>
            <w:tcW w:w="2623"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19中金04</w:t>
            </w:r>
          </w:p>
        </w:tc>
        <w:tc>
          <w:tcPr>
            <w:tcW w:w="1577"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1906"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30,777,852.74</w:t>
            </w:r>
          </w:p>
        </w:tc>
        <w:tc>
          <w:tcPr>
            <w:tcW w:w="1554"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w:t>
            </w: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w:t>
            </w:r>
          </w:p>
        </w:tc>
        <w:tc>
          <w:tcPr>
            <w:tcW w:w="240" w:type="dxa"/>
            <w:gridSpan w:val="2"/>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99" w:hRule="exact"/>
        </w:trPr>
        <w:tc>
          <w:tcPr>
            <w:tcW w:w="1" w:type="dxa"/>
            <w:vAlign w:val="top"/>
          </w:tcPr>
          <w:p>
            <w:pPr>
              <w:pStyle w:val="4"/>
            </w:pPr>
          </w:p>
        </w:tc>
        <w:tc>
          <w:tcPr>
            <w:tcW w:w="800" w:type="dxa"/>
            <w:vAlign w:val="top"/>
          </w:tcPr>
          <w:p>
            <w:pPr>
              <w:pStyle w:val="4"/>
            </w:pPr>
          </w:p>
        </w:tc>
        <w:tc>
          <w:tcPr>
            <w:tcW w:w="2000" w:type="dxa"/>
            <w:vAlign w:val="top"/>
          </w:tcPr>
          <w:p>
            <w:pPr>
              <w:pStyle w:val="4"/>
            </w:pPr>
          </w:p>
        </w:tc>
        <w:tc>
          <w:tcPr>
            <w:tcW w:w="400" w:type="dxa"/>
            <w:vAlign w:val="top"/>
          </w:tcPr>
          <w:p>
            <w:pPr>
              <w:pStyle w:val="4"/>
            </w:pPr>
          </w:p>
        </w:tc>
        <w:tc>
          <w:tcPr>
            <w:tcW w:w="2223" w:type="dxa"/>
            <w:gridSpan w:val="6"/>
            <w:vAlign w:val="top"/>
          </w:tcPr>
          <w:p>
            <w:pPr>
              <w:pStyle w:val="4"/>
            </w:pPr>
          </w:p>
        </w:tc>
        <w:tc>
          <w:tcPr>
            <w:tcW w:w="1177" w:type="dxa"/>
            <w:vAlign w:val="top"/>
          </w:tcPr>
          <w:p>
            <w:pPr>
              <w:pStyle w:val="4"/>
            </w:pPr>
          </w:p>
        </w:tc>
        <w:tc>
          <w:tcPr>
            <w:tcW w:w="400" w:type="dxa"/>
            <w:vAlign w:val="top"/>
          </w:tcPr>
          <w:p>
            <w:pPr>
              <w:pStyle w:val="4"/>
            </w:pPr>
          </w:p>
        </w:tc>
        <w:tc>
          <w:tcPr>
            <w:tcW w:w="1906" w:type="dxa"/>
            <w:gridSpan w:val="3"/>
            <w:vAlign w:val="top"/>
          </w:tcPr>
          <w:p>
            <w:pPr>
              <w:pStyle w:val="4"/>
            </w:pPr>
          </w:p>
        </w:tc>
        <w:tc>
          <w:tcPr>
            <w:tcW w:w="1554" w:type="dxa"/>
            <w:gridSpan w:val="2"/>
            <w:vAlign w:val="top"/>
          </w:tcPr>
          <w:p>
            <w:pPr>
              <w:pStyle w:val="4"/>
            </w:pPr>
          </w:p>
        </w:tc>
        <w:tc>
          <w:tcPr>
            <w:tcW w:w="240" w:type="dxa"/>
            <w:gridSpan w:val="2"/>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8"/>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.4 报告期末</w:t>
            </w:r>
            <w:r>
              <w:rPr>
                <w:rFonts w:hint="eastAsia" w:ascii="原版宋体" w:hAnsi="原版宋体" w:eastAsia="原版宋体" w:cs="原版宋体"/>
                <w:color w:val="000000"/>
                <w:sz w:val="20"/>
                <w:lang w:eastAsia="zh-CN"/>
              </w:rPr>
              <w:t>资产</w:t>
            </w:r>
            <w:r>
              <w:rPr>
                <w:rFonts w:ascii="原版宋体" w:hAnsi="原版宋体" w:eastAsia="原版宋体" w:cs="原版宋体"/>
                <w:color w:val="000000"/>
                <w:sz w:val="20"/>
              </w:rPr>
              <w:t>组合流动性风险分析</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产品资产净值（元）</w:t>
            </w:r>
          </w:p>
        </w:tc>
        <w:tc>
          <w:tcPr>
            <w:tcW w:w="4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10,031,295.88</w:t>
            </w:r>
          </w:p>
        </w:tc>
        <w:tc>
          <w:tcPr>
            <w:tcW w:w="34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509,285,479.45</w:t>
            </w:r>
          </w:p>
        </w:tc>
        <w:tc>
          <w:tcPr>
            <w:tcW w:w="4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1.97%</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40" w:hRule="exact"/>
        </w:trPr>
        <w:tc>
          <w:tcPr>
            <w:tcW w:w="1" w:type="dxa"/>
            <w:vAlign w:val="top"/>
          </w:tcPr>
          <w:p>
            <w:pPr>
              <w:pStyle w:val="4"/>
            </w:pPr>
          </w:p>
        </w:tc>
        <w:tc>
          <w:tcPr>
            <w:tcW w:w="800" w:type="dxa"/>
            <w:vAlign w:val="top"/>
          </w:tcPr>
          <w:p>
            <w:pPr>
              <w:pStyle w:val="4"/>
            </w:pPr>
          </w:p>
        </w:tc>
        <w:tc>
          <w:tcPr>
            <w:tcW w:w="2000" w:type="dxa"/>
            <w:vAlign w:val="top"/>
          </w:tcPr>
          <w:p>
            <w:pPr>
              <w:pStyle w:val="4"/>
            </w:pPr>
          </w:p>
        </w:tc>
        <w:tc>
          <w:tcPr>
            <w:tcW w:w="400" w:type="dxa"/>
            <w:vAlign w:val="top"/>
          </w:tcPr>
          <w:p>
            <w:pPr>
              <w:pStyle w:val="4"/>
            </w:pPr>
          </w:p>
        </w:tc>
        <w:tc>
          <w:tcPr>
            <w:tcW w:w="1800" w:type="dxa"/>
            <w:gridSpan w:val="5"/>
            <w:vAlign w:val="top"/>
          </w:tcPr>
          <w:p>
            <w:pPr>
              <w:pStyle w:val="4"/>
            </w:pPr>
          </w:p>
        </w:tc>
        <w:tc>
          <w:tcPr>
            <w:tcW w:w="1600" w:type="dxa"/>
            <w:gridSpan w:val="2"/>
            <w:vAlign w:val="top"/>
          </w:tcPr>
          <w:p>
            <w:pPr>
              <w:pStyle w:val="4"/>
            </w:pPr>
          </w:p>
        </w:tc>
        <w:tc>
          <w:tcPr>
            <w:tcW w:w="400" w:type="dxa"/>
            <w:vAlign w:val="top"/>
          </w:tcPr>
          <w:p>
            <w:pPr>
              <w:pStyle w:val="4"/>
            </w:pPr>
          </w:p>
        </w:tc>
        <w:tc>
          <w:tcPr>
            <w:tcW w:w="2000" w:type="dxa"/>
            <w:gridSpan w:val="4"/>
            <w:vAlign w:val="top"/>
          </w:tcPr>
          <w:p>
            <w:pPr>
              <w:pStyle w:val="4"/>
            </w:pPr>
          </w:p>
        </w:tc>
        <w:tc>
          <w:tcPr>
            <w:tcW w:w="1600" w:type="dxa"/>
            <w:gridSpan w:val="2"/>
            <w:vAlign w:val="top"/>
          </w:tcPr>
          <w:p>
            <w:pPr>
              <w:pStyle w:val="4"/>
            </w:pP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1137" w:hRule="exact"/>
        </w:trPr>
        <w:tc>
          <w:tcPr>
            <w:tcW w:w="1" w:type="dxa"/>
            <w:vAlign w:val="top"/>
          </w:tcPr>
          <w:p>
            <w:pPr>
              <w:pStyle w:val="4"/>
            </w:pPr>
          </w:p>
        </w:tc>
        <w:tc>
          <w:tcPr>
            <w:tcW w:w="10700" w:type="dxa"/>
            <w:gridSpan w:val="18"/>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w:t>
            </w:r>
            <w:r>
              <w:rPr>
                <w:rFonts w:hint="eastAsia" w:ascii="原版宋体" w:hAnsi="原版宋体" w:eastAsia="原版宋体" w:cs="原版宋体"/>
                <w:color w:val="000000"/>
                <w:sz w:val="20"/>
              </w:rPr>
              <w:t>产品管理人通过合理安排资产配置结构，保持一定比例的流动性资产，控制资产久期、杠杆融资比例，管控产品流动性风险。持仓中主要以一定比例的中高等级信用债或非标资产为主，风险总体可控</w:t>
            </w:r>
            <w:r>
              <w:rPr>
                <w:rFonts w:ascii="原版宋体" w:hAnsi="原版宋体" w:eastAsia="原版宋体" w:cs="原版宋体"/>
                <w:color w:val="000000"/>
                <w:sz w:val="20"/>
              </w:rPr>
              <w:t>。</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325" w:hRule="exact"/>
        </w:trPr>
        <w:tc>
          <w:tcPr>
            <w:tcW w:w="1" w:type="dxa"/>
            <w:vAlign w:val="top"/>
          </w:tcPr>
          <w:p>
            <w:pPr>
              <w:pStyle w:val="4"/>
            </w:pPr>
          </w:p>
        </w:tc>
        <w:tc>
          <w:tcPr>
            <w:tcW w:w="10700" w:type="dxa"/>
            <w:gridSpan w:val="18"/>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8"/>
            <w:tcMar>
              <w:top w:w="0" w:type="dxa"/>
              <w:left w:w="0" w:type="dxa"/>
              <w:bottom w:w="0" w:type="dxa"/>
              <w:right w:w="0" w:type="dxa"/>
            </w:tcMar>
            <w:vAlign w:val="top"/>
          </w:tcPr>
          <w:p>
            <w:pPr>
              <w:spacing w:before="0" w:after="0" w:line="360" w:lineRule="auto"/>
              <w:jc w:val="right"/>
            </w:pPr>
            <w:r>
              <w:rPr>
                <w:rFonts w:hint="eastAsia" w:ascii="原版宋体" w:hAnsi="原版宋体" w:eastAsia="原版宋体" w:cs="原版宋体"/>
                <w:color w:val="000000"/>
                <w:sz w:val="20"/>
                <w:lang w:eastAsia="zh-CN"/>
              </w:rPr>
              <w:t>江苏张家港农村商业银行股份有限公司</w:t>
            </w:r>
            <w:r>
              <w:rPr>
                <w:rFonts w:ascii="原版宋体" w:hAnsi="原版宋体" w:eastAsia="原版宋体" w:cs="原版宋体"/>
                <w:color w:val="000000"/>
                <w:sz w:val="20"/>
              </w:rPr>
              <w:t xml:space="preserve">                 </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8"/>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2020年03月31日</w:t>
            </w:r>
          </w:p>
        </w:tc>
        <w:tc>
          <w:tcPr>
            <w:tcW w:w="800" w:type="dxa"/>
            <w:gridSpan w:val="2"/>
            <w:vAlign w:val="top"/>
          </w:tcPr>
          <w:p>
            <w:pPr>
              <w:pStyle w:val="4"/>
            </w:pPr>
          </w:p>
        </w:tc>
      </w:tr>
    </w:tbl>
    <w:p/>
    <w:sectPr>
      <w:pgSz w:w="13900" w:h="16840"/>
      <w:pgMar w:top="800" w:right="1200" w:bottom="440" w:left="12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40001" w:csb1="00000000"/>
  </w:font>
  <w:font w:name="原版宋体">
    <w:altName w:val="宋体"/>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800"/>
  <w:displayHorizontalDrawingGridEvery w:val="1"/>
  <w:displayVerticalDrawingGridEvery w:val="1"/>
  <w:characterSpacingControl w:val="compressPunctuation"/>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3E143DB"/>
    <w:rsid w:val="0DB23291"/>
    <w:rsid w:val="110D206E"/>
    <w:rsid w:val="371501B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黑体"/>
      <w:sz w:val="21"/>
      <w:szCs w:val="22"/>
      <w:lang w:val="en-US" w:eastAsia="zh-CN" w:bidi="ar-SA"/>
    </w:rPr>
  </w:style>
  <w:style w:type="character" w:default="1" w:styleId="3">
    <w:name w:val="Default Paragraph Fon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uiPriority w:val="0"/>
    <w:pPr>
      <w:spacing w:line="240" w:lineRule="auto"/>
    </w:pPr>
    <w:rPr>
      <w:rFonts w:ascii="SansSerif" w:hAnsi="SansSerif" w:eastAsia="SansSerif" w:cs="SansSerif"/>
      <w:color w:val="000000"/>
      <w:sz w:val="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2020-04-02T17:58:00Z</dcterms:created>
  <dc:creator>zrcbank</dc:creator>
  <cp:lastModifiedBy>宋芳玉</cp:lastModifiedBy>
  <dcterms:modified xsi:type="dcterms:W3CDTF">2020-04-13T10:19:03Z</dcterms:modified>
  <dc:title>宋芳玉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