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200"/>
        <w:gridCol w:w="200"/>
        <w:gridCol w:w="400"/>
        <w:gridCol w:w="20"/>
        <w:gridCol w:w="980"/>
        <w:gridCol w:w="1600"/>
        <w:gridCol w:w="130"/>
        <w:gridCol w:w="670"/>
        <w:gridCol w:w="220"/>
        <w:gridCol w:w="934"/>
        <w:gridCol w:w="2046"/>
        <w:gridCol w:w="1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0" w:type="dxa"/>
            <w:vAlign w:val="top"/>
          </w:tcPr>
          <w:p>
            <w:pPr>
              <w:pStyle w:val="3"/>
            </w:pPr>
          </w:p>
        </w:tc>
        <w:tc>
          <w:tcPr>
            <w:tcW w:w="7100" w:type="dxa"/>
            <w:gridSpan w:val="10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“金港湾惠享1907期”定期报告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0" w:type="dxa"/>
            <w:vAlign w:val="top"/>
          </w:tcPr>
          <w:p>
            <w:pPr>
              <w:pStyle w:val="3"/>
            </w:pPr>
          </w:p>
        </w:tc>
        <w:tc>
          <w:tcPr>
            <w:tcW w:w="7100" w:type="dxa"/>
            <w:gridSpan w:val="10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eastAsia="原版宋体"/>
                <w:lang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中信银行股份有限公司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0" w:type="dxa"/>
            <w:vAlign w:val="top"/>
          </w:tcPr>
          <w:p>
            <w:pPr>
              <w:pStyle w:val="3"/>
            </w:pPr>
          </w:p>
        </w:tc>
        <w:tc>
          <w:tcPr>
            <w:tcW w:w="7100" w:type="dxa"/>
            <w:gridSpan w:val="10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0" w:type="dxa"/>
            <w:vAlign w:val="top"/>
          </w:tcPr>
          <w:p>
            <w:pPr>
              <w:pStyle w:val="3"/>
            </w:pPr>
          </w:p>
        </w:tc>
        <w:tc>
          <w:tcPr>
            <w:tcW w:w="7100" w:type="dxa"/>
            <w:gridSpan w:val="10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57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金港湾惠享1907期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HX1907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C1115619000069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66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6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6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338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308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  投资组合报告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.1 报告期末产品资产组合情况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auto"/>
                <w:sz w:val="20"/>
                <w:highlight w:val="none"/>
              </w:rPr>
              <w:t>占资产组合比例（%）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1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 xml:space="preserve"> 103,164,186.68 </w:t>
            </w:r>
          </w:p>
        </w:tc>
        <w:tc>
          <w:tcPr>
            <w:tcW w:w="33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99.63%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其中: 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 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 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 xml:space="preserve"> 103,164,186.68 </w:t>
            </w:r>
          </w:p>
        </w:tc>
        <w:tc>
          <w:tcPr>
            <w:tcW w:w="33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99.63%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2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银行存款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385,297.56</w:t>
            </w:r>
          </w:p>
        </w:tc>
        <w:tc>
          <w:tcPr>
            <w:tcW w:w="33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0.37%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4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103,549,484.24</w:t>
            </w:r>
          </w:p>
        </w:tc>
        <w:tc>
          <w:tcPr>
            <w:tcW w:w="33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36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.2 报告期末产品资产组合排名前十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80" w:hRule="exac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1" w:name="JR_PAGE_ANCHOR_0_3"/>
            <w:bookmarkEnd w:id="1"/>
          </w:p>
        </w:tc>
        <w:tc>
          <w:tcPr>
            <w:tcW w:w="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6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1730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1824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204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auto"/>
                <w:sz w:val="20"/>
                <w:highlight w:val="none"/>
              </w:rPr>
              <w:t>占资产组合比例（%）</w:t>
            </w: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</w:tc>
        <w:tc>
          <w:tcPr>
            <w:tcW w:w="20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</w:tc>
        <w:tc>
          <w:tcPr>
            <w:tcW w:w="2200" w:type="dxa"/>
            <w:gridSpan w:val="6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</w:tc>
        <w:tc>
          <w:tcPr>
            <w:tcW w:w="173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</w:tc>
        <w:tc>
          <w:tcPr>
            <w:tcW w:w="1824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</w:tc>
        <w:tc>
          <w:tcPr>
            <w:tcW w:w="20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pStyle w:val="3"/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654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17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69,500,000.00</w:t>
            </w:r>
          </w:p>
        </w:tc>
        <w:tc>
          <w:tcPr>
            <w:tcW w:w="182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 xml:space="preserve"> 83,122,000.00 </w:t>
            </w:r>
          </w:p>
        </w:tc>
        <w:tc>
          <w:tcPr>
            <w:tcW w:w="2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80.27%</w:t>
            </w:r>
          </w:p>
        </w:tc>
        <w:tc>
          <w:tcPr>
            <w:tcW w:w="100" w:type="dxa"/>
            <w:vAlign w:val="top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800" w:type="dxa"/>
            <w:gridSpan w:val="2"/>
            <w:vAlign w:val="top"/>
          </w:tcPr>
          <w:p>
            <w:pPr>
              <w:widowControl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rPr>
          <w:trHeight w:val="1004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fbzc-zg2019040302-1             </w:t>
            </w:r>
          </w:p>
        </w:tc>
        <w:tc>
          <w:tcPr>
            <w:tcW w:w="22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中海汇信2019-11西安高新流动资金贷款集合资金信托计划（一）</w:t>
            </w:r>
          </w:p>
        </w:tc>
        <w:tc>
          <w:tcPr>
            <w:tcW w:w="17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182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20,042,186.68</w:t>
            </w:r>
          </w:p>
        </w:tc>
        <w:tc>
          <w:tcPr>
            <w:tcW w:w="2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19.36%</w:t>
            </w: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30" w:type="dxa"/>
            <w:vAlign w:val="top"/>
          </w:tcPr>
          <w:p>
            <w:pPr>
              <w:pStyle w:val="3"/>
            </w:pPr>
          </w:p>
        </w:tc>
        <w:tc>
          <w:tcPr>
            <w:tcW w:w="1824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46" w:type="dxa"/>
            <w:vAlign w:val="top"/>
          </w:tcPr>
          <w:p>
            <w:pPr>
              <w:pStyle w:val="3"/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15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 xml:space="preserve"> 报告期末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资产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385,297.56</w:t>
            </w:r>
          </w:p>
        </w:tc>
        <w:tc>
          <w:tcPr>
            <w:tcW w:w="34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103,019,315.07</w:t>
            </w:r>
          </w:p>
        </w:tc>
        <w:tc>
          <w:tcPr>
            <w:tcW w:w="41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0.37%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4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30" w:type="dxa"/>
            <w:vAlign w:val="top"/>
          </w:tcPr>
          <w:p>
            <w:pPr>
              <w:pStyle w:val="3"/>
            </w:pPr>
          </w:p>
        </w:tc>
        <w:tc>
          <w:tcPr>
            <w:tcW w:w="1824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46" w:type="dxa"/>
            <w:vAlign w:val="top"/>
          </w:tcPr>
          <w:p>
            <w:pPr>
              <w:pStyle w:val="3"/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 xml:space="preserve">    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</w:rPr>
              <w:t>产品管理人通过合理安排资产配置结构，控制资产久期、杠杆融资比例，管控产品流动性风险。持仓中主要以一定比例的中高等级信用债或非标资产为主，风险总体可控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30" w:type="dxa"/>
            <w:vAlign w:val="top"/>
          </w:tcPr>
          <w:p>
            <w:pPr>
              <w:pStyle w:val="3"/>
            </w:pPr>
          </w:p>
        </w:tc>
        <w:tc>
          <w:tcPr>
            <w:tcW w:w="1824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46" w:type="dxa"/>
            <w:vAlign w:val="top"/>
          </w:tcPr>
          <w:p>
            <w:pPr>
              <w:pStyle w:val="3"/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            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efaultTabStop w:val="800"/>
  <w:displayHorizontalDrawingGridEvery w:val="1"/>
  <w:displayVerticalDrawingGridEvery w:val="1"/>
  <w:noPunctuationKerning w:val="1"/>
  <w:characterSpacingControl w:val="compressPunctuation"/>
  <w:compat>
    <w:spaceForUL/>
    <w:doNotLeaveBackslashAlone/>
    <w:ulTrailSpace/>
    <w:doNotExpandShiftReturn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2020-04-02T09:34:00Z</dcterms:created>
  <dc:creator>zrcbank</dc:creator>
  <dcterms:modified xsi:type="dcterms:W3CDTF">2020-04-13T14:53:04Z</dcterms:modified>
  <dc:title>zrcbank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