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200"/>
        <w:gridCol w:w="200"/>
        <w:gridCol w:w="400"/>
        <w:gridCol w:w="1000"/>
        <w:gridCol w:w="1600"/>
        <w:gridCol w:w="400"/>
        <w:gridCol w:w="400"/>
        <w:gridCol w:w="1600"/>
        <w:gridCol w:w="1600"/>
        <w:gridCol w:w="100"/>
        <w:gridCol w:w="20"/>
        <w:gridCol w:w="78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200" w:type="dxa"/>
          </w:tcPr>
          <w:p>
            <w:pPr>
              <w:pStyle w:val="4"/>
            </w:pPr>
          </w:p>
        </w:tc>
        <w:tc>
          <w:tcPr>
            <w:tcW w:w="7100" w:type="dxa"/>
            <w:gridSpan w:val="8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“金港湾惠享1911期”定期报告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200" w:type="dxa"/>
          </w:tcPr>
          <w:p>
            <w:pPr>
              <w:pStyle w:val="4"/>
            </w:pPr>
          </w:p>
        </w:tc>
        <w:tc>
          <w:tcPr>
            <w:tcW w:w="7100" w:type="dxa"/>
            <w:gridSpan w:val="8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中信银行股份有限公司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发布时间：2020年03月31日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200" w:type="dxa"/>
          </w:tcPr>
          <w:p>
            <w:pPr>
              <w:pStyle w:val="4"/>
            </w:pPr>
          </w:p>
        </w:tc>
        <w:tc>
          <w:tcPr>
            <w:tcW w:w="7100" w:type="dxa"/>
            <w:gridSpan w:val="8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本报告期自2020年01月01日起至03月31日止。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200" w:type="dxa"/>
          </w:tcPr>
          <w:p>
            <w:pPr>
              <w:pStyle w:val="4"/>
            </w:pPr>
          </w:p>
        </w:tc>
        <w:tc>
          <w:tcPr>
            <w:tcW w:w="7100" w:type="dxa"/>
            <w:gridSpan w:val="8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7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金港湾惠享1911期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HX1911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C1115619000095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200" w:type="dxa"/>
          </w:tcPr>
          <w:p>
            <w:pPr>
              <w:pStyle w:val="4"/>
            </w:pPr>
          </w:p>
        </w:tc>
        <w:tc>
          <w:tcPr>
            <w:tcW w:w="7100" w:type="dxa"/>
            <w:gridSpan w:val="8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3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 xml:space="preserve">  投资组合报告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.1 报告期末产品资产组合情况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auto"/>
                <w:sz w:val="20"/>
                <w:highlight w:val="none"/>
              </w:rPr>
              <w:t>占资产组合比例（％）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auto"/>
                <w:sz w:val="20"/>
                <w:highlight w:val="none"/>
              </w:rPr>
              <w:t>1</w:t>
            </w: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>固定收益投资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</w:pPr>
            <w:r>
              <w:rPr>
                <w:rFonts w:hint="default" w:ascii="原版宋体" w:hAnsi="原版宋体" w:eastAsia="原版宋体" w:cs="原版宋体"/>
                <w:color w:val="000000"/>
                <w:sz w:val="20"/>
                <w:lang w:val="en-US" w:eastAsia="zh-CN"/>
              </w:rPr>
              <w:t>49,643,633.03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97.68%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>其中: 银行间/交易所产品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 xml:space="preserve">        其中：回购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 xml:space="preserve">      非银行间/非交易所产品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default" w:ascii="原版宋体" w:hAnsi="原版宋体" w:eastAsia="原版宋体" w:cs="原版宋体"/>
                <w:color w:val="000000"/>
                <w:sz w:val="20"/>
                <w:lang w:val="en-US" w:eastAsia="zh-CN"/>
              </w:rPr>
              <w:t>49,643,633.03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97.68%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val="en-US" w:eastAsia="zh-CN"/>
              </w:rPr>
              <w:t>2</w:t>
            </w: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>银行存款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1,180,663.19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2.3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</w:t>
            </w:r>
            <w:bookmarkStart w:id="2" w:name="_GoBack"/>
            <w:bookmarkEnd w:id="2"/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val="en-US" w:eastAsia="zh-CN"/>
              </w:rPr>
              <w:t>3</w:t>
            </w: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>其他资产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val="en-US" w:eastAsia="zh-CN"/>
              </w:rPr>
              <w:t>4</w:t>
            </w: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>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824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296.22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2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val="en-US" w:eastAsia="zh-CN"/>
              </w:rPr>
              <w:t>3</w:t>
            </w:r>
            <w:r>
              <w:rPr>
                <w:rFonts w:ascii="原版宋体" w:hAnsi="原版宋体" w:eastAsia="原版宋体" w:cs="原版宋体"/>
                <w:color w:val="auto"/>
                <w:sz w:val="20"/>
                <w:highlight w:val="none"/>
              </w:rPr>
              <w:t>.2 报告期末产品资产组合排名前十</w:t>
            </w: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eastAsia="zh-CN"/>
              </w:rPr>
              <w:t>的</w:t>
            </w:r>
            <w:r>
              <w:rPr>
                <w:rFonts w:ascii="原版宋体" w:hAnsi="原版宋体" w:eastAsia="原版宋体" w:cs="原版宋体"/>
                <w:color w:val="auto"/>
                <w:sz w:val="20"/>
                <w:highlight w:val="none"/>
              </w:rPr>
              <w:t>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" w:hRule="exact"/>
        </w:trPr>
        <w:tc>
          <w:tcPr>
            <w:tcW w:w="1" w:type="dxa"/>
          </w:tcPr>
          <w:p>
            <w:pPr>
              <w:pStyle w:val="4"/>
            </w:pPr>
            <w:bookmarkStart w:id="1" w:name="JR_PAGE_ANCHOR_0_3"/>
            <w:bookmarkEnd w:id="1"/>
          </w:p>
        </w:tc>
        <w:tc>
          <w:tcPr>
            <w:tcW w:w="8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6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auto"/>
                <w:sz w:val="20"/>
                <w:highlight w:val="none"/>
              </w:rPr>
              <w:t>占资产组合比例（％）</w:t>
            </w:r>
          </w:p>
        </w:tc>
        <w:tc>
          <w:tcPr>
            <w:tcW w:w="1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pStyle w:val="4"/>
            </w:pPr>
          </w:p>
        </w:tc>
        <w:tc>
          <w:tcPr>
            <w:tcW w:w="20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pStyle w:val="4"/>
            </w:pPr>
          </w:p>
        </w:tc>
        <w:tc>
          <w:tcPr>
            <w:tcW w:w="2200" w:type="dxa"/>
            <w:gridSpan w:val="5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pStyle w:val="4"/>
            </w:pPr>
          </w:p>
        </w:tc>
        <w:tc>
          <w:tcPr>
            <w:tcW w:w="2000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pStyle w:val="4"/>
            </w:pPr>
          </w:p>
        </w:tc>
        <w:tc>
          <w:tcPr>
            <w:tcW w:w="2000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pStyle w:val="4"/>
            </w:pPr>
          </w:p>
        </w:tc>
        <w:tc>
          <w:tcPr>
            <w:tcW w:w="16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pStyle w:val="4"/>
            </w:pPr>
          </w:p>
        </w:tc>
        <w:tc>
          <w:tcPr>
            <w:tcW w:w="1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76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fbzc-zg2019040302-2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999-中海汇信2019-11西安高新流动资金贷款集合资金信托计划（二）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40,075,633.03</w:t>
            </w:r>
          </w:p>
        </w:tc>
        <w:tc>
          <w:tcPr>
            <w:tcW w:w="1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78.85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1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7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XHT7H   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鑫元基金-鑫合通7号资产管理计划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8,000,000.00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568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,000.00</w:t>
            </w:r>
          </w:p>
        </w:tc>
        <w:tc>
          <w:tcPr>
            <w:tcW w:w="1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83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1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9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3.3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报告期末投资组合流动性风险分析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1,180,663.19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50,700,958.90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2.33%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4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auto"/>
                <w:sz w:val="20"/>
                <w:highlight w:val="none"/>
              </w:rPr>
              <w:t xml:space="preserve">    </w:t>
            </w: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</w:rPr>
              <w:t>产品管理人通过合理安排资产配置结构，控制资产久期、杠杆融资比例，管控产品流动性风险。持仓中主要以一定比例的中高等级信用债或非标资产为主，风险总体可控</w:t>
            </w:r>
            <w:r>
              <w:rPr>
                <w:rFonts w:ascii="原版宋体" w:hAnsi="原版宋体" w:eastAsia="原版宋体" w:cs="原版宋体"/>
                <w:color w:val="auto"/>
                <w:sz w:val="20"/>
                <w:highlight w:val="none"/>
              </w:rPr>
              <w:t>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vAlign w:val="top"/>
          </w:tcPr>
          <w:p>
            <w:pPr>
              <w:spacing w:before="0" w:after="0" w:line="360" w:lineRule="auto"/>
              <w:jc w:val="right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eastAsia="zh-CN"/>
              </w:rPr>
              <w:t>江苏张家港农村商业银行股份有限公司</w:t>
            </w:r>
            <w:r>
              <w:rPr>
                <w:rFonts w:ascii="原版宋体" w:hAnsi="原版宋体" w:eastAsia="原版宋体" w:cs="原版宋体"/>
                <w:color w:val="auto"/>
                <w:sz w:val="20"/>
                <w:highlight w:val="none"/>
              </w:rPr>
              <w:t xml:space="preserve">                  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2020年03月31日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oNotDisplayPageBoundaries w:val="1"/>
  <w:bordersDoNotSurroundHeader w:val="0"/>
  <w:bordersDoNotSurroundFooter w:val="0"/>
  <w:documentProtection w:enforcement="0"/>
  <w:defaultTabStop w:val="800"/>
  <w:displayHorizontalDrawingGridEvery w:val="1"/>
  <w:displayVerticalDrawingGridEvery w:val="1"/>
  <w:noPunctuationKerning w:val="1"/>
  <w:compat>
    <w:doNotExpandShiftReturn/>
    <w:doNotWrapTextWithPunct/>
    <w:doNotUseEastAsianBreakRules/>
    <w:useFELayout/>
    <w:doNotUseIndentAsNumberingTabStop/>
    <w:useAltKinsokuLineBreakRules/>
    <w:splitPgBreakAndParaMark/>
    <w:compatSetting w:name="compatibilityMode" w:uri="http://schemas.microsoft.com/office/word" w:val="12"/>
  </w:compat>
  <w:rsids>
    <w:rsidRoot w:val="00000000"/>
    <w:rsid w:val="03702575"/>
    <w:rsid w:val="03A5698C"/>
    <w:rsid w:val="06EC73FA"/>
    <w:rsid w:val="07E94963"/>
    <w:rsid w:val="07EB2D30"/>
    <w:rsid w:val="09235126"/>
    <w:rsid w:val="093939E9"/>
    <w:rsid w:val="0A026DD8"/>
    <w:rsid w:val="0B751D62"/>
    <w:rsid w:val="0BDE4AC6"/>
    <w:rsid w:val="0F6141B7"/>
    <w:rsid w:val="11BE489D"/>
    <w:rsid w:val="14401ECC"/>
    <w:rsid w:val="14A56E68"/>
    <w:rsid w:val="15447BCF"/>
    <w:rsid w:val="17E67389"/>
    <w:rsid w:val="1A335F68"/>
    <w:rsid w:val="1C2423E6"/>
    <w:rsid w:val="1FDA4C32"/>
    <w:rsid w:val="26CD086D"/>
    <w:rsid w:val="29C21859"/>
    <w:rsid w:val="2E9B4E4D"/>
    <w:rsid w:val="2ED1390C"/>
    <w:rsid w:val="2F6054EA"/>
    <w:rsid w:val="324A7BB2"/>
    <w:rsid w:val="330F6763"/>
    <w:rsid w:val="3485683B"/>
    <w:rsid w:val="34A02BB5"/>
    <w:rsid w:val="34A337DD"/>
    <w:rsid w:val="3648385C"/>
    <w:rsid w:val="36D24EAF"/>
    <w:rsid w:val="386F78FF"/>
    <w:rsid w:val="39D230B0"/>
    <w:rsid w:val="3B6C422B"/>
    <w:rsid w:val="3BD50FE1"/>
    <w:rsid w:val="3D1E1F18"/>
    <w:rsid w:val="3E36767D"/>
    <w:rsid w:val="3FA3625B"/>
    <w:rsid w:val="40F23F34"/>
    <w:rsid w:val="41AB0FDD"/>
    <w:rsid w:val="43D978CD"/>
    <w:rsid w:val="45A41456"/>
    <w:rsid w:val="48135106"/>
    <w:rsid w:val="4B1D2282"/>
    <w:rsid w:val="4CDA7FE1"/>
    <w:rsid w:val="4E3F3B7B"/>
    <w:rsid w:val="4EEA333A"/>
    <w:rsid w:val="4F0904A8"/>
    <w:rsid w:val="5123154A"/>
    <w:rsid w:val="524070AD"/>
    <w:rsid w:val="542C3FA1"/>
    <w:rsid w:val="55D779AE"/>
    <w:rsid w:val="58BB7C97"/>
    <w:rsid w:val="5BB41875"/>
    <w:rsid w:val="5D6266B3"/>
    <w:rsid w:val="600B5CE5"/>
    <w:rsid w:val="61D84FE3"/>
    <w:rsid w:val="696F1A3D"/>
    <w:rsid w:val="6C075D96"/>
    <w:rsid w:val="6CC3630F"/>
    <w:rsid w:val="6CDF2463"/>
    <w:rsid w:val="72C66C50"/>
    <w:rsid w:val="731441D5"/>
    <w:rsid w:val="77F41E6E"/>
    <w:rsid w:val="782E2511"/>
    <w:rsid w:val="78A94393"/>
    <w:rsid w:val="79325692"/>
    <w:rsid w:val="79683BFE"/>
    <w:rsid w:val="7A596CDA"/>
    <w:rsid w:val="7B6E3DBA"/>
    <w:rsid w:val="7BFC0883"/>
    <w:rsid w:val="7C2904FA"/>
    <w:rsid w:val="7C5A02A6"/>
    <w:rsid w:val="7F9B4D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Office_11.1.0.8980_F1E327BC-269C-435d-A152-05C5408002CA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2020-04-02T01:08:00Z</dcterms:created>
  <dc:creator>zrcbank</dc:creator>
  <cp:lastModifiedBy>zrcbank</cp:lastModifiedBy>
  <dcterms:modified xsi:type="dcterms:W3CDTF">2020-04-03T11:19:41Z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2052-11.1.0.8980</vt:lpwstr>
  </property>
</Properties>
</file>