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600"/>
        <w:gridCol w:w="1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</w:pPr>
          </w:p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</w:pPr>
          </w:p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南京银行股份有限公司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2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25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749,211,748.53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9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6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6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338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308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395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.1 报告期末产品资产组合情况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  <w:highlight w:val="none"/>
              </w:rPr>
              <w:t>占资产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  <w:highlight w:val="none"/>
              </w:rPr>
              <w:t>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945,494,532.58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其中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864,018,491.86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90.86%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    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eastAsia="zh-CN"/>
              </w:rPr>
              <w:t>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 xml:space="preserve">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81,476,040.72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5,457,005.50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950,951,538.08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378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2" w:name="_GoBack"/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bookmarkEnd w:id="2"/>
      <w:tr>
        <w:trPr>
          <w:trHeight w:val="558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.2 报告期末按债券品种分类的债券投资组合</w:t>
            </w:r>
          </w:p>
          <w:p>
            <w:pPr>
              <w:spacing w:before="0" w:after="0" w:line="360" w:lineRule="auto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970.08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10.68%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500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672.13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5.31%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741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848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169.73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78.01%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657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352.05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2.17%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864,018,491.86</w:t>
            </w:r>
          </w:p>
        </w:tc>
        <w:tc>
          <w:tcPr>
            <w:tcW w:w="3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90.86%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600" w:type="dxa"/>
            <w:gridSpan w:val="14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27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1" w:name="JR_PAGE_ANCHOR_0_3"/>
            <w:bookmarkEnd w:id="1"/>
          </w:p>
        </w:tc>
        <w:tc>
          <w:tcPr>
            <w:tcW w:w="10600" w:type="dxa"/>
            <w:gridSpan w:val="14"/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.3 报告期末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排名前十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净值比例（％）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0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200" w:type="dxa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1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19088042            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南京江宁城市建设集团有限公司2019年度第一期理财直接融资工具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60,330,904.11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7.66%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163105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20国君G1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51,012,297.95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6.48%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200201  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20国开01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50,500,672.13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6.41%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101800369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18豫投资MTN002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42,915,880.22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5.45%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151553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19常新D2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41,823,369.56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5.31%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151965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19晋佳01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41,712,288.32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5.30%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162016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19余工01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41,389,474.74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5.25%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101800778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18成都高新MTN001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32,402,073.61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4.11%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135353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16武经01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31,683,919.31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4.02%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151468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19建邺01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31,367,952.61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3.98%</w:t>
            </w:r>
          </w:p>
        </w:tc>
        <w:tc>
          <w:tcPr>
            <w:tcW w:w="100" w:type="dxa"/>
            <w:vAlign w:val="top"/>
          </w:tcPr>
          <w:p>
            <w:pPr>
              <w:pStyle w:val="3"/>
              <w:rPr>
                <w:highlight w:val="none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55,957,677.63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787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744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253.44</w:t>
            </w:r>
          </w:p>
        </w:tc>
        <w:tc>
          <w:tcPr>
            <w:tcW w:w="41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7.10%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ind w:right="4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</w:p>
        </w:tc>
      </w:tr>
      <w:tr>
        <w:trPr>
          <w:trHeight w:val="335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545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报告期内，产品管理人通过合理安排资产配置结构，保持一定比例的高流动性资产，控制资产久期、杠杆融资比例，管控产品流动性风险。持仓中利率债、同业存单及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9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2020-04-03T09:53:00Z</dcterms:created>
  <dc:creator>zrcbank</dc:creator>
  <dcterms:modified xsi:type="dcterms:W3CDTF">2020-04-14T19:53:18Z</dcterms:modified>
  <dc:title>宋芳玉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