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2000"/>
        <w:gridCol w:w="400"/>
        <w:gridCol w:w="200"/>
        <w:gridCol w:w="200"/>
        <w:gridCol w:w="400"/>
        <w:gridCol w:w="1000"/>
        <w:gridCol w:w="1600"/>
        <w:gridCol w:w="400"/>
        <w:gridCol w:w="400"/>
        <w:gridCol w:w="1600"/>
        <w:gridCol w:w="1600"/>
        <w:gridCol w:w="120"/>
        <w:gridCol w:w="120"/>
        <w:gridCol w:w="116"/>
        <w:gridCol w:w="544"/>
        <w:gridCol w:w="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20" w:type="dxa"/>
            <w:gridSpan w:val="8"/>
            <w:vAlign w:val="top"/>
          </w:tcPr>
          <w:p>
            <w:pPr>
              <w:pStyle w:val="4"/>
            </w:pP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exact"/>
        </w:trPr>
        <w:tc>
          <w:tcPr>
            <w:tcW w:w="1" w:type="dxa"/>
            <w:vAlign w:val="top"/>
          </w:tcPr>
          <w:p>
            <w:pPr>
              <w:pStyle w:val="4"/>
            </w:pPr>
          </w:p>
        </w:tc>
        <w:tc>
          <w:tcPr>
            <w:tcW w:w="10720" w:type="dxa"/>
            <w:gridSpan w:val="13"/>
            <w:tcMar>
              <w:top w:w="0" w:type="dxa"/>
              <w:left w:w="0" w:type="dxa"/>
              <w:bottom w:w="0" w:type="dxa"/>
              <w:right w:w="0" w:type="dxa"/>
            </w:tcMar>
            <w:vAlign w:val="center"/>
          </w:tcPr>
          <w:p>
            <w:pPr>
              <w:spacing w:before="0" w:after="0" w:line="240" w:lineRule="auto"/>
              <w:jc w:val="center"/>
            </w:pPr>
            <w:r>
              <w:rPr>
                <w:b/>
                <w:color w:val="000000"/>
                <w:sz w:val="40"/>
              </w:rPr>
              <w:t>“金港湾惠享（私募版）1916期”定期报告</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20" w:type="dxa"/>
            <w:gridSpan w:val="8"/>
            <w:vAlign w:val="top"/>
          </w:tcPr>
          <w:p>
            <w:pPr>
              <w:pStyle w:val="4"/>
            </w:pP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产品托管人：</w:t>
            </w:r>
            <w:r>
              <w:rPr>
                <w:rFonts w:hint="eastAsia"/>
                <w:color w:val="000000"/>
                <w:sz w:val="20"/>
                <w:lang w:eastAsia="zh-CN"/>
              </w:rPr>
              <w:t>招行银行股份有限公司</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发布时间：2020年03月31日</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20" w:type="dxa"/>
            <w:gridSpan w:val="8"/>
            <w:vAlign w:val="top"/>
          </w:tcPr>
          <w:p>
            <w:pPr>
              <w:pStyle w:val="4"/>
            </w:pP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b/>
                <w:color w:val="000000"/>
                <w:sz w:val="20"/>
              </w:rPr>
              <w:t>1  重要提示</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 xml:space="preserve">    本报告中财务资料未经审计。</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10720" w:type="dxa"/>
            <w:gridSpan w:val="13"/>
            <w:tcMar>
              <w:top w:w="0" w:type="dxa"/>
              <w:left w:w="0" w:type="dxa"/>
              <w:bottom w:w="0" w:type="dxa"/>
              <w:right w:w="0" w:type="dxa"/>
            </w:tcMar>
            <w:vAlign w:val="top"/>
          </w:tcPr>
          <w:p>
            <w:r>
              <w:rPr>
                <w:color w:val="000000"/>
                <w:sz w:val="20"/>
              </w:rPr>
              <w:t xml:space="preserve">    本报告期自2020年01月01日起至03月31日止。</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20" w:type="dxa"/>
            <w:gridSpan w:val="8"/>
            <w:vAlign w:val="top"/>
          </w:tcPr>
          <w:p>
            <w:pPr>
              <w:pStyle w:val="4"/>
            </w:pP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20" w:type="dxa"/>
            <w:gridSpan w:val="13"/>
            <w:tcMar>
              <w:top w:w="0" w:type="dxa"/>
              <w:left w:w="0" w:type="dxa"/>
              <w:bottom w:w="0" w:type="dxa"/>
              <w:right w:w="0" w:type="dxa"/>
            </w:tcMar>
            <w:vAlign w:val="center"/>
          </w:tcPr>
          <w:p>
            <w:pPr>
              <w:spacing w:before="0" w:after="0" w:line="360" w:lineRule="auto"/>
            </w:pPr>
            <w:r>
              <w:rPr>
                <w:b/>
                <w:color w:val="000000"/>
                <w:sz w:val="20"/>
              </w:rPr>
              <w:t>2  产品概况</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金港湾惠享（私募版）1916期</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HXSM1916</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C1115619A000069</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封闭式净值型</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2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highlight w:val="none"/>
              </w:rPr>
              <w:t>私募</w:t>
            </w: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20" w:type="dxa"/>
            <w:gridSpan w:val="8"/>
            <w:vAlign w:val="top"/>
          </w:tcPr>
          <w:p>
            <w:pPr>
              <w:pStyle w:val="4"/>
            </w:pPr>
          </w:p>
        </w:tc>
        <w:tc>
          <w:tcPr>
            <w:tcW w:w="1016" w:type="dxa"/>
            <w:gridSpan w:val="4"/>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exact"/>
        </w:trPr>
        <w:tc>
          <w:tcPr>
            <w:tcW w:w="1" w:type="dxa"/>
            <w:vAlign w:val="top"/>
          </w:tcPr>
          <w:p>
            <w:pPr>
              <w:pStyle w:val="4"/>
            </w:pPr>
          </w:p>
        </w:tc>
        <w:tc>
          <w:tcPr>
            <w:tcW w:w="10720" w:type="dxa"/>
            <w:gridSpan w:val="13"/>
            <w:tcMar>
              <w:top w:w="0" w:type="dxa"/>
              <w:left w:w="0" w:type="dxa"/>
              <w:bottom w:w="0" w:type="dxa"/>
              <w:right w:w="0" w:type="dxa"/>
            </w:tcMar>
            <w:vAlign w:val="center"/>
          </w:tcPr>
          <w:p>
            <w:pPr>
              <w:spacing w:before="0" w:after="0" w:line="360" w:lineRule="auto"/>
            </w:pPr>
            <w:r>
              <w:rPr>
                <w:rFonts w:hint="eastAsia"/>
                <w:b/>
                <w:color w:val="000000"/>
                <w:sz w:val="20"/>
                <w:lang w:val="en-US" w:eastAsia="zh-CN"/>
              </w:rPr>
              <w:t>3</w:t>
            </w:r>
            <w:r>
              <w:rPr>
                <w:b/>
                <w:color w:val="000000"/>
                <w:sz w:val="20"/>
              </w:rPr>
              <w:t>投资组合报告</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10720" w:type="dxa"/>
            <w:gridSpan w:val="13"/>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.1 报告期末产品资产组合情况</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w:t>
            </w:r>
            <w:r>
              <w:rPr>
                <w:rFonts w:hint="eastAsia"/>
                <w:b/>
                <w:color w:val="000000"/>
                <w:sz w:val="20"/>
                <w:lang w:eastAsia="zh-CN"/>
              </w:rPr>
              <w:t>资产组合</w:t>
            </w:r>
            <w:r>
              <w:rPr>
                <w:b/>
                <w:color w:val="000000"/>
                <w:sz w:val="20"/>
              </w:rPr>
              <w:t>比例（%）</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rPr>
              <w:t xml:space="preserve"> 303,569,678.94</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99.</w:t>
            </w:r>
            <w:r>
              <w:rPr>
                <w:rFonts w:hint="eastAsia"/>
                <w:color w:val="000000"/>
                <w:sz w:val="20"/>
                <w:lang w:val="en-US" w:eastAsia="zh-CN"/>
              </w:rPr>
              <w:t>72</w:t>
            </w:r>
            <w:r>
              <w:rPr>
                <w:color w:val="000000"/>
                <w:sz w:val="20"/>
              </w:rPr>
              <w:t>%</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w:t>
            </w:r>
            <w:r>
              <w:rPr>
                <w:rFonts w:hint="default" w:ascii="宋体" w:hAnsi="宋体" w:eastAsia="宋体"/>
                <w:b w:val="0"/>
                <w:i w:val="0"/>
                <w:color w:val="000000"/>
                <w:sz w:val="20"/>
                <w:u w:val="none"/>
                <w:lang w:eastAsia="zh-CN"/>
              </w:rPr>
              <w:t>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rPr>
              <w:t xml:space="preserve"> 303,569,678.94</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99.</w:t>
            </w:r>
            <w:r>
              <w:rPr>
                <w:rFonts w:hint="eastAsia"/>
                <w:color w:val="000000"/>
                <w:sz w:val="20"/>
                <w:lang w:val="en-US" w:eastAsia="zh-CN"/>
              </w:rPr>
              <w:t>72</w:t>
            </w:r>
            <w:r>
              <w:rPr>
                <w:color w:val="000000"/>
                <w:sz w:val="20"/>
              </w:rPr>
              <w:t>%</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865,345.96</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0.2</w:t>
            </w:r>
            <w:r>
              <w:rPr>
                <w:rFonts w:hint="eastAsia"/>
                <w:color w:val="000000"/>
                <w:sz w:val="20"/>
                <w:lang w:val="en-US" w:eastAsia="zh-CN"/>
              </w:rPr>
              <w:t>8</w:t>
            </w:r>
            <w:r>
              <w:rPr>
                <w:color w:val="000000"/>
                <w:sz w:val="20"/>
              </w:rPr>
              <w:t>%</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304,435,024.90</w:t>
            </w:r>
          </w:p>
        </w:tc>
        <w:tc>
          <w:tcPr>
            <w:tcW w:w="332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36"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0" w:hRule="atLeast"/>
        </w:trPr>
        <w:tc>
          <w:tcPr>
            <w:tcW w:w="1" w:type="dxa"/>
            <w:vAlign w:val="top"/>
          </w:tcPr>
          <w:p>
            <w:pPr>
              <w:pStyle w:val="4"/>
              <w:pageBreakBefore/>
            </w:pPr>
            <w:bookmarkStart w:id="1" w:name="JR_PAGE_ANCHOR_0_3"/>
            <w:bookmarkEnd w:id="1"/>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4"/>
            <w:vAlign w:val="top"/>
          </w:tcPr>
          <w:p>
            <w:pPr>
              <w:pStyle w:val="4"/>
            </w:pPr>
          </w:p>
        </w:tc>
        <w:tc>
          <w:tcPr>
            <w:tcW w:w="1600" w:type="dxa"/>
            <w:vAlign w:val="top"/>
          </w:tcPr>
          <w:p>
            <w:pPr>
              <w:pStyle w:val="4"/>
            </w:pPr>
          </w:p>
        </w:tc>
        <w:tc>
          <w:tcPr>
            <w:tcW w:w="400" w:type="dxa"/>
            <w:vAlign w:val="top"/>
          </w:tcPr>
          <w:p>
            <w:pPr>
              <w:pStyle w:val="4"/>
            </w:pPr>
          </w:p>
        </w:tc>
        <w:tc>
          <w:tcPr>
            <w:tcW w:w="2000" w:type="dxa"/>
            <w:gridSpan w:val="2"/>
            <w:vAlign w:val="top"/>
          </w:tcPr>
          <w:p>
            <w:pPr>
              <w:pStyle w:val="4"/>
            </w:pPr>
          </w:p>
        </w:tc>
        <w:tc>
          <w:tcPr>
            <w:tcW w:w="1600" w:type="dxa"/>
            <w:vAlign w:val="top"/>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2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4"/>
            <w:vAlign w:val="top"/>
          </w:tcPr>
          <w:p>
            <w:pPr>
              <w:pStyle w:val="4"/>
            </w:pPr>
          </w:p>
        </w:tc>
        <w:tc>
          <w:tcPr>
            <w:tcW w:w="1600" w:type="dxa"/>
            <w:vAlign w:val="top"/>
          </w:tcPr>
          <w:p>
            <w:pPr>
              <w:pStyle w:val="4"/>
            </w:pPr>
          </w:p>
        </w:tc>
        <w:tc>
          <w:tcPr>
            <w:tcW w:w="400" w:type="dxa"/>
            <w:vAlign w:val="top"/>
          </w:tcPr>
          <w:p>
            <w:pPr>
              <w:pStyle w:val="4"/>
            </w:pPr>
          </w:p>
        </w:tc>
        <w:tc>
          <w:tcPr>
            <w:tcW w:w="2000" w:type="dxa"/>
            <w:gridSpan w:val="2"/>
            <w:vAlign w:val="top"/>
          </w:tcPr>
          <w:p>
            <w:pPr>
              <w:pStyle w:val="4"/>
            </w:pPr>
          </w:p>
        </w:tc>
        <w:tc>
          <w:tcPr>
            <w:tcW w:w="1600" w:type="dxa"/>
            <w:vAlign w:val="top"/>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540" w:hRule="exact"/>
        </w:trPr>
        <w:tc>
          <w:tcPr>
            <w:tcW w:w="11501" w:type="dxa"/>
            <w:gridSpan w:val="17"/>
            <w:vAlign w:val="center"/>
          </w:tcPr>
          <w:p>
            <w:pPr>
              <w:spacing w:before="0" w:after="0" w:line="360" w:lineRule="auto"/>
            </w:pPr>
            <w:r>
              <w:rPr>
                <w:rFonts w:hint="eastAsia" w:ascii="原版宋体" w:hAnsi="原版宋体" w:eastAsia="原版宋体" w:cs="原版宋体"/>
                <w:color w:val="000000"/>
                <w:sz w:val="20"/>
                <w:lang w:val="en-US" w:eastAsia="zh-CN"/>
              </w:rPr>
              <w:t>3.2 报告期末按市值占产品资产净值比例大小排名的前十名资产投资明细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540" w:hRule="exact"/>
        </w:trPr>
        <w:tc>
          <w:tcPr>
            <w:tcW w:w="1" w:type="dxa"/>
            <w:vAlign w:val="top"/>
          </w:tcPr>
          <w:p>
            <w:pPr>
              <w:pStyle w:val="4"/>
            </w:pPr>
          </w:p>
        </w:tc>
        <w:tc>
          <w:tcPr>
            <w:tcW w:w="80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200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资产代码</w:t>
            </w:r>
          </w:p>
        </w:tc>
        <w:tc>
          <w:tcPr>
            <w:tcW w:w="2200" w:type="dxa"/>
            <w:gridSpan w:val="5"/>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资产名称</w:t>
            </w:r>
          </w:p>
        </w:tc>
        <w:tc>
          <w:tcPr>
            <w:tcW w:w="2000" w:type="dxa"/>
            <w:gridSpan w:val="2"/>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数量</w:t>
            </w:r>
          </w:p>
        </w:tc>
        <w:tc>
          <w:tcPr>
            <w:tcW w:w="2000" w:type="dxa"/>
            <w:gridSpan w:val="2"/>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市值(元)</w:t>
            </w:r>
          </w:p>
        </w:tc>
        <w:tc>
          <w:tcPr>
            <w:tcW w:w="1600" w:type="dxa"/>
            <w:vMerge w:val="restart"/>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b/>
                <w:color w:val="000000"/>
                <w:sz w:val="20"/>
              </w:rPr>
              <w:t>占</w:t>
            </w:r>
            <w:r>
              <w:rPr>
                <w:rFonts w:hint="eastAsia"/>
                <w:b/>
                <w:color w:val="000000"/>
                <w:sz w:val="20"/>
                <w:lang w:eastAsia="zh-CN"/>
              </w:rPr>
              <w:t>资产组合</w:t>
            </w:r>
            <w:r>
              <w:rPr>
                <w:b/>
                <w:color w:val="000000"/>
                <w:sz w:val="20"/>
              </w:rPr>
              <w:t>比例（％）</w:t>
            </w: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60" w:hRule="exact"/>
        </w:trPr>
        <w:tc>
          <w:tcPr>
            <w:tcW w:w="1" w:type="dxa"/>
            <w:vAlign w:val="top"/>
          </w:tcPr>
          <w:p>
            <w:pPr>
              <w:pStyle w:val="4"/>
            </w:pPr>
          </w:p>
        </w:tc>
        <w:tc>
          <w:tcPr>
            <w:tcW w:w="80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200" w:type="dxa"/>
            <w:gridSpan w:val="5"/>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gridSpan w:val="2"/>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000" w:type="dxa"/>
            <w:gridSpan w:val="2"/>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1600" w:type="dxa"/>
            <w:vMerge w:val="continue"/>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XHT7H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93,400,000.00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11</w:t>
            </w:r>
            <w:r>
              <w:rPr>
                <w:rFonts w:hint="eastAsia"/>
                <w:color w:val="000000"/>
                <w:sz w:val="20"/>
                <w:lang w:val="en-US" w:eastAsia="zh-CN"/>
              </w:rPr>
              <w:t>1</w:t>
            </w:r>
            <w:r>
              <w:rPr>
                <w:color w:val="000000"/>
                <w:sz w:val="20"/>
              </w:rPr>
              <w:t>,</w:t>
            </w:r>
            <w:r>
              <w:rPr>
                <w:rFonts w:hint="eastAsia"/>
                <w:color w:val="000000"/>
                <w:sz w:val="20"/>
                <w:lang w:val="en-US" w:eastAsia="zh-CN"/>
              </w:rPr>
              <w:t>706</w:t>
            </w:r>
            <w:r>
              <w:rPr>
                <w:color w:val="000000"/>
                <w:sz w:val="20"/>
              </w:rPr>
              <w:t>,</w:t>
            </w:r>
            <w:r>
              <w:rPr>
                <w:rFonts w:hint="eastAsia"/>
                <w:color w:val="000000"/>
                <w:sz w:val="20"/>
                <w:lang w:val="en-US" w:eastAsia="zh-CN"/>
              </w:rPr>
              <w:t>4</w:t>
            </w:r>
            <w:r>
              <w:rPr>
                <w:color w:val="000000"/>
                <w:sz w:val="20"/>
              </w:rPr>
              <w:t>00.00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36.</w:t>
            </w:r>
            <w:r>
              <w:rPr>
                <w:rFonts w:hint="eastAsia"/>
                <w:color w:val="000000"/>
                <w:sz w:val="20"/>
                <w:lang w:val="en-US" w:eastAsia="zh-CN"/>
              </w:rPr>
              <w:t>69</w:t>
            </w:r>
            <w:r>
              <w:rPr>
                <w:color w:val="000000"/>
                <w:sz w:val="20"/>
              </w:rPr>
              <w:t>%</w:t>
            </w: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83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ZHHX2017-18ZZCF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中海汇信2017-18株洲城发信托贷款集合资金信托计划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101,704,438.97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33.4</w:t>
            </w:r>
            <w:r>
              <w:rPr>
                <w:rFonts w:hint="eastAsia"/>
                <w:color w:val="000000"/>
                <w:sz w:val="20"/>
                <w:lang w:val="en-US" w:eastAsia="zh-CN"/>
              </w:rPr>
              <w:t>1</w:t>
            </w:r>
            <w:r>
              <w:rPr>
                <w:color w:val="000000"/>
                <w:sz w:val="20"/>
              </w:rPr>
              <w:t>%</w:t>
            </w: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845"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HNXTHC2H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华能信托-长江经济带系列之华楚投资2号集合资金信托计划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50,083,206.94</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16.4</w:t>
            </w:r>
            <w:r>
              <w:rPr>
                <w:rFonts w:hint="eastAsia"/>
                <w:color w:val="000000"/>
                <w:sz w:val="20"/>
                <w:lang w:val="en-US" w:eastAsia="zh-CN"/>
              </w:rPr>
              <w:t>5</w:t>
            </w:r>
            <w:r>
              <w:rPr>
                <w:color w:val="000000"/>
                <w:sz w:val="20"/>
              </w:rPr>
              <w:t>%</w:t>
            </w: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95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fbzc-zg2019040302-2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bookmarkStart w:id="2" w:name="_GoBack"/>
            <w:bookmarkEnd w:id="2"/>
            <w:r>
              <w:rPr>
                <w:color w:val="000000"/>
                <w:sz w:val="20"/>
              </w:rPr>
              <w:t>中海汇信2019-11西安高新流动资金贷款集合资金信托计划（二）</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40,075,633.03</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13.</w:t>
            </w:r>
            <w:r>
              <w:rPr>
                <w:rFonts w:hint="eastAsia"/>
                <w:color w:val="000000"/>
                <w:sz w:val="20"/>
                <w:lang w:val="en-US" w:eastAsia="zh-CN"/>
              </w:rPr>
              <w:t>16</w:t>
            </w:r>
            <w:r>
              <w:rPr>
                <w:color w:val="000000"/>
                <w:sz w:val="20"/>
              </w:rPr>
              <w:t>%</w:t>
            </w: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7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4"/>
            <w:vAlign w:val="top"/>
          </w:tcPr>
          <w:p>
            <w:pPr>
              <w:pStyle w:val="4"/>
            </w:pPr>
          </w:p>
        </w:tc>
        <w:tc>
          <w:tcPr>
            <w:tcW w:w="1600" w:type="dxa"/>
            <w:vAlign w:val="top"/>
          </w:tcPr>
          <w:p>
            <w:pPr>
              <w:pStyle w:val="4"/>
            </w:pPr>
          </w:p>
        </w:tc>
        <w:tc>
          <w:tcPr>
            <w:tcW w:w="400" w:type="dxa"/>
            <w:vAlign w:val="top"/>
          </w:tcPr>
          <w:p>
            <w:pPr>
              <w:pStyle w:val="4"/>
            </w:pPr>
          </w:p>
        </w:tc>
        <w:tc>
          <w:tcPr>
            <w:tcW w:w="2000" w:type="dxa"/>
            <w:gridSpan w:val="2"/>
            <w:vAlign w:val="top"/>
          </w:tcPr>
          <w:p>
            <w:pPr>
              <w:pStyle w:val="4"/>
            </w:pPr>
          </w:p>
        </w:tc>
        <w:tc>
          <w:tcPr>
            <w:tcW w:w="1600" w:type="dxa"/>
            <w:vAlign w:val="top"/>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10840" w:type="dxa"/>
            <w:gridSpan w:val="14"/>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w:t>
            </w:r>
            <w:r>
              <w:rPr>
                <w:rFonts w:hint="eastAsia"/>
                <w:color w:val="000000"/>
                <w:sz w:val="20"/>
                <w:lang w:val="en-US" w:eastAsia="zh-CN"/>
              </w:rPr>
              <w:t>3</w:t>
            </w:r>
            <w:r>
              <w:rPr>
                <w:color w:val="000000"/>
                <w:sz w:val="20"/>
              </w:rPr>
              <w:t xml:space="preserve"> 报告期末</w:t>
            </w:r>
            <w:r>
              <w:rPr>
                <w:rFonts w:hint="eastAsia"/>
                <w:color w:val="000000"/>
                <w:sz w:val="20"/>
                <w:lang w:eastAsia="zh-CN"/>
              </w:rPr>
              <w:t>资产</w:t>
            </w:r>
            <w:r>
              <w:rPr>
                <w:color w:val="000000"/>
                <w:sz w:val="20"/>
              </w:rPr>
              <w:t>组合流动性风险分析</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24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865,345.96</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304,132,849.32</w:t>
            </w:r>
          </w:p>
        </w:tc>
        <w:tc>
          <w:tcPr>
            <w:tcW w:w="424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0.28%</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4"/>
            <w:vAlign w:val="top"/>
          </w:tcPr>
          <w:p>
            <w:pPr>
              <w:pStyle w:val="4"/>
            </w:pPr>
          </w:p>
        </w:tc>
        <w:tc>
          <w:tcPr>
            <w:tcW w:w="1600" w:type="dxa"/>
            <w:vAlign w:val="top"/>
          </w:tcPr>
          <w:p>
            <w:pPr>
              <w:pStyle w:val="4"/>
            </w:pPr>
          </w:p>
        </w:tc>
        <w:tc>
          <w:tcPr>
            <w:tcW w:w="400" w:type="dxa"/>
            <w:vAlign w:val="top"/>
          </w:tcPr>
          <w:p>
            <w:pPr>
              <w:pStyle w:val="4"/>
            </w:pPr>
          </w:p>
        </w:tc>
        <w:tc>
          <w:tcPr>
            <w:tcW w:w="2000" w:type="dxa"/>
            <w:gridSpan w:val="2"/>
            <w:vAlign w:val="top"/>
          </w:tcPr>
          <w:p>
            <w:pPr>
              <w:pStyle w:val="4"/>
            </w:pPr>
          </w:p>
        </w:tc>
        <w:tc>
          <w:tcPr>
            <w:tcW w:w="1600" w:type="dxa"/>
            <w:vAlign w:val="top"/>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1200" w:hRule="exact"/>
        </w:trPr>
        <w:tc>
          <w:tcPr>
            <w:tcW w:w="1" w:type="dxa"/>
            <w:vAlign w:val="top"/>
          </w:tcPr>
          <w:p>
            <w:pPr>
              <w:pStyle w:val="4"/>
            </w:pPr>
          </w:p>
        </w:tc>
        <w:tc>
          <w:tcPr>
            <w:tcW w:w="10840" w:type="dxa"/>
            <w:gridSpan w:val="14"/>
            <w:tcMar>
              <w:top w:w="0" w:type="dxa"/>
              <w:left w:w="0" w:type="dxa"/>
              <w:bottom w:w="0" w:type="dxa"/>
              <w:right w:w="0" w:type="dxa"/>
            </w:tcMar>
            <w:vAlign w:val="center"/>
          </w:tcPr>
          <w:p>
            <w:pPr>
              <w:spacing w:before="0" w:after="0" w:line="360" w:lineRule="auto"/>
            </w:pPr>
            <w:r>
              <w:rPr>
                <w:color w:val="000000"/>
                <w:sz w:val="20"/>
              </w:rPr>
              <w:t xml:space="preserve">    </w:t>
            </w:r>
            <w:r>
              <w:rPr>
                <w:rFonts w:hint="eastAsia"/>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color w:val="000000"/>
                <w:sz w:val="20"/>
              </w:rPr>
              <w:t>。</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8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4"/>
            <w:vAlign w:val="top"/>
          </w:tcPr>
          <w:p>
            <w:pPr>
              <w:pStyle w:val="4"/>
            </w:pPr>
          </w:p>
        </w:tc>
        <w:tc>
          <w:tcPr>
            <w:tcW w:w="1600" w:type="dxa"/>
            <w:vAlign w:val="top"/>
          </w:tcPr>
          <w:p>
            <w:pPr>
              <w:pStyle w:val="4"/>
            </w:pPr>
          </w:p>
        </w:tc>
        <w:tc>
          <w:tcPr>
            <w:tcW w:w="400" w:type="dxa"/>
            <w:vAlign w:val="top"/>
          </w:tcPr>
          <w:p>
            <w:pPr>
              <w:pStyle w:val="4"/>
            </w:pPr>
          </w:p>
        </w:tc>
        <w:tc>
          <w:tcPr>
            <w:tcW w:w="2000" w:type="dxa"/>
            <w:gridSpan w:val="2"/>
            <w:vAlign w:val="top"/>
          </w:tcPr>
          <w:p>
            <w:pPr>
              <w:pStyle w:val="4"/>
            </w:pPr>
          </w:p>
        </w:tc>
        <w:tc>
          <w:tcPr>
            <w:tcW w:w="1600" w:type="dxa"/>
            <w:vAlign w:val="top"/>
          </w:tcPr>
          <w:p>
            <w:pPr>
              <w:pStyle w:val="4"/>
            </w:pPr>
          </w:p>
        </w:tc>
        <w:tc>
          <w:tcPr>
            <w:tcW w:w="240" w:type="dxa"/>
            <w:gridSpan w:val="2"/>
            <w:vAlign w:val="top"/>
          </w:tcPr>
          <w:p>
            <w:pPr>
              <w:pStyle w:val="4"/>
            </w:pP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10840" w:type="dxa"/>
            <w:gridSpan w:val="14"/>
            <w:tcMar>
              <w:top w:w="0" w:type="dxa"/>
              <w:left w:w="0" w:type="dxa"/>
              <w:bottom w:w="0" w:type="dxa"/>
              <w:right w:w="0" w:type="dxa"/>
            </w:tcMar>
            <w:vAlign w:val="top"/>
          </w:tcPr>
          <w:p>
            <w:pPr>
              <w:spacing w:before="0" w:after="0" w:line="360" w:lineRule="auto"/>
            </w:pPr>
            <w:r>
              <w:rPr>
                <w:color w:val="000000"/>
                <w:sz w:val="20"/>
              </w:rPr>
              <w:t xml:space="preserve">    </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10840" w:type="dxa"/>
            <w:gridSpan w:val="14"/>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color w:val="000000"/>
                <w:sz w:val="20"/>
              </w:rPr>
              <w:t xml:space="preserve">                  </w:t>
            </w:r>
          </w:p>
        </w:tc>
        <w:tc>
          <w:tcPr>
            <w:tcW w:w="66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0" w:hRule="exact"/>
        </w:trPr>
        <w:tc>
          <w:tcPr>
            <w:tcW w:w="1" w:type="dxa"/>
            <w:vAlign w:val="top"/>
          </w:tcPr>
          <w:p>
            <w:pPr>
              <w:pStyle w:val="4"/>
            </w:pPr>
          </w:p>
        </w:tc>
        <w:tc>
          <w:tcPr>
            <w:tcW w:w="10840" w:type="dxa"/>
            <w:gridSpan w:val="14"/>
            <w:tcMar>
              <w:top w:w="0" w:type="dxa"/>
              <w:left w:w="0" w:type="dxa"/>
              <w:bottom w:w="0" w:type="dxa"/>
              <w:right w:w="0" w:type="dxa"/>
            </w:tcMar>
            <w:vAlign w:val="top"/>
          </w:tcPr>
          <w:p>
            <w:pPr>
              <w:spacing w:before="0" w:after="0" w:line="360" w:lineRule="auto"/>
              <w:jc w:val="right"/>
            </w:pPr>
            <w:r>
              <w:rPr>
                <w:color w:val="000000"/>
                <w:sz w:val="20"/>
              </w:rPr>
              <w:t>2020年03月31日</w:t>
            </w:r>
          </w:p>
        </w:tc>
        <w:tc>
          <w:tcPr>
            <w:tcW w:w="66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8D167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rPr>
      <w:rFonts w:ascii="Times New Roman" w:hAnsi="Times New Roman" w:eastAsia="宋体" w:cs="Times New Roman"/>
      <w:color w:val="000000"/>
      <w:sz w:val="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2020-04-04T00:27:00Z</dcterms:created>
  <dc:creator>zrc</dc:creator>
  <cp:lastModifiedBy>宋芳玉</cp:lastModifiedBy>
  <dcterms:modified xsi:type="dcterms:W3CDTF">2020-04-13T10:13:20Z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