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20"/>
        <w:gridCol w:w="980"/>
        <w:gridCol w:w="1600"/>
        <w:gridCol w:w="400"/>
        <w:gridCol w:w="400"/>
        <w:gridCol w:w="220"/>
        <w:gridCol w:w="1380"/>
        <w:gridCol w:w="1700"/>
        <w:gridCol w:w="20"/>
        <w:gridCol w:w="78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18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“金港湾瑞享1号”定期报告</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469"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产品托管人：南京银行股份有限公司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发布时间：2020年12月31日</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本报告期自2020年01月01日起至12月31日止。</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金港湾瑞享1号</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RX0103</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C1115619000043</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1,180,934,126.79</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yellow"/>
              </w:rPr>
            </w:pPr>
            <w:r>
              <w:rPr>
                <w:rFonts w:ascii="原版宋体" w:hAnsi="原版宋体" w:eastAsia="原版宋体" w:cs="原版宋体"/>
                <w:color w:val="000000"/>
                <w:sz w:val="20"/>
                <w:highlight w:val="none"/>
              </w:rPr>
              <w:t>1.0880</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highlight w:val="none"/>
                <w:lang w:eastAsia="zh-CN"/>
              </w:rPr>
            </w:pPr>
            <w:r>
              <w:rPr>
                <w:rFonts w:hint="eastAsia" w:ascii="原版宋体" w:hAnsi="原版宋体" w:eastAsia="原版宋体" w:cs="原版宋体"/>
                <w:color w:val="000000"/>
                <w:sz w:val="20"/>
                <w:highlight w:val="none"/>
                <w:lang w:val="en-US" w:eastAsia="zh-CN"/>
              </w:rPr>
              <w:t>1.0880</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none"/>
              </w:rPr>
            </w:pPr>
            <w:r>
              <w:rPr>
                <w:rFonts w:hint="eastAsia" w:ascii="原版宋体" w:hAnsi="原版宋体" w:eastAsia="原版宋体" w:cs="原版宋体"/>
                <w:color w:val="000000"/>
                <w:sz w:val="20"/>
                <w:highlight w:val="none"/>
                <w:lang w:val="en-US" w:eastAsia="zh-CN"/>
              </w:rPr>
              <w:t>4.8892</w:t>
            </w:r>
            <w:bookmarkStart w:id="3" w:name="_GoBack"/>
            <w:bookmarkEnd w:id="3"/>
            <w:r>
              <w:rPr>
                <w:rFonts w:ascii="原版宋体" w:hAnsi="原版宋体" w:eastAsia="原版宋体" w:cs="原版宋体"/>
                <w:color w:val="000000"/>
                <w:sz w:val="20"/>
                <w:highlight w:val="none"/>
              </w:rPr>
              <w:t>%</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 xml:space="preserve">3  </w:t>
            </w:r>
            <w:r>
              <w:rPr>
                <w:rFonts w:hint="eastAsia" w:ascii="原版宋体" w:hAnsi="原版宋体" w:eastAsia="原版宋体" w:cs="原版宋体"/>
                <w:b/>
                <w:color w:val="000000"/>
                <w:sz w:val="20"/>
                <w:lang w:eastAsia="zh-CN"/>
              </w:rPr>
              <w:t>投资</w:t>
            </w:r>
            <w:r>
              <w:rPr>
                <w:rFonts w:ascii="原版宋体" w:hAnsi="原版宋体" w:eastAsia="原版宋体" w:cs="原版宋体"/>
                <w:b/>
                <w:color w:val="000000"/>
                <w:sz w:val="20"/>
              </w:rPr>
              <w:t>组合报告</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w:t>
            </w:r>
            <w:r>
              <w:rPr>
                <w:rFonts w:hint="eastAsia" w:ascii="原版宋体" w:hAnsi="原版宋体" w:eastAsia="原版宋体" w:cs="原版宋体"/>
                <w:color w:val="000000"/>
                <w:sz w:val="20"/>
                <w:lang w:eastAsia="zh-CN"/>
              </w:rPr>
              <w:t>产品</w:t>
            </w:r>
            <w:r>
              <w:rPr>
                <w:rFonts w:ascii="原版宋体" w:hAnsi="原版宋体" w:eastAsia="原版宋体" w:cs="原版宋体"/>
                <w:color w:val="000000"/>
                <w:sz w:val="20"/>
              </w:rPr>
              <w:t>资产组合情况</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1,310,702,129.78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99.55%</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1,239,286,665.87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94.13%</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gridSpan w:val="2"/>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71,415,463.91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5.42%</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5,877,465.92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0.45%</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1,316,579,595.70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190,746,062.50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14.49%</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121,276,410.83</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9.21%</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997,319,670.49</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75.75%</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51,220,932.88</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3.89%</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1,239,286,665.87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94.13%</w:t>
            </w:r>
          </w:p>
        </w:tc>
        <w:tc>
          <w:tcPr>
            <w:tcW w:w="780" w:type="dxa"/>
            <w:vAlign w:val="top"/>
          </w:tcPr>
          <w:p>
            <w:pPr>
              <w:pStyle w:val="3"/>
            </w:pPr>
          </w:p>
        </w:tc>
      </w:tr>
      <w:tr>
        <w:trPr>
          <w:trHeight w:val="11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3.3 </w:t>
            </w:r>
            <w:r>
              <w:rPr>
                <w:color w:val="000000"/>
                <w:sz w:val="20"/>
              </w:rPr>
              <w:t>报告期末按市值占产品资产净值比例大小排名的前十名资产投资明细</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产品</w:t>
            </w:r>
            <w:r>
              <w:rPr>
                <w:rFonts w:ascii="原版宋体" w:hAnsi="原版宋体" w:eastAsia="原版宋体" w:cs="原版宋体"/>
                <w:b/>
                <w:color w:val="000000"/>
                <w:sz w:val="20"/>
              </w:rPr>
              <w:t>资产净值比例（％）</w:t>
            </w:r>
          </w:p>
        </w:tc>
        <w:tc>
          <w:tcPr>
            <w:tcW w:w="20" w:type="dxa"/>
            <w:vAlign w:val="top"/>
          </w:tcPr>
          <w:p>
            <w:pPr>
              <w:pStyle w:val="3"/>
            </w:pPr>
          </w:p>
        </w:tc>
        <w:tc>
          <w:tcPr>
            <w:tcW w:w="78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20088015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南通滨海园区控股发展有限公司2020年度第1期理财直接融资工具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50,576,340.62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3.94%</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032000881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20宁技发PPN001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50,403,397.26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167910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20鹿城01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50,394,657.54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032000943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20温岭国资PPN003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50,337,946.23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177353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20萧经02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50,128,986.30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3.90%</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112009482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20浦发银行CD482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49,161,993.59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3.83%</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031671031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16滨湖建设PPN001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41,344,595.21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162016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19余工01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40,847,932.62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3.18%</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200306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20进出06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40,427,085.48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3.15%</w:t>
            </w:r>
          </w:p>
        </w:tc>
        <w:tc>
          <w:tcPr>
            <w:tcW w:w="20" w:type="dxa"/>
            <w:vAlign w:val="top"/>
          </w:tcPr>
          <w:p>
            <w:pPr>
              <w:pStyle w:val="3"/>
            </w:pPr>
          </w:p>
        </w:tc>
        <w:tc>
          <w:tcPr>
            <w:tcW w:w="780" w:type="dxa"/>
            <w:vAlign w:val="top"/>
          </w:tcPr>
          <w:p>
            <w:pPr>
              <w:pStyle w:val="3"/>
            </w:pPr>
          </w:p>
        </w:tc>
      </w:tr>
      <w:tr>
        <w:trPr>
          <w:trHeight w:val="0" w:hRule="atLeast"/>
        </w:trPr>
        <w:tc>
          <w:tcPr>
            <w:tcW w:w="1" w:type="dxa"/>
            <w:vAlign w:val="top"/>
          </w:tcPr>
          <w:p>
            <w:pPr>
              <w:pStyle w:val="3"/>
              <w:pageBreakBefore/>
            </w:pPr>
            <w:bookmarkStart w:id="2" w:name="JR_PAGE_ANCHOR_0_3"/>
            <w:bookmarkEnd w:id="2"/>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4"/>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700" w:type="dxa"/>
            <w:vAlign w:val="top"/>
          </w:tcPr>
          <w:p>
            <w:pPr>
              <w:pStyle w:val="3"/>
            </w:pPr>
          </w:p>
        </w:tc>
        <w:tc>
          <w:tcPr>
            <w:tcW w:w="800" w:type="dxa"/>
            <w:gridSpan w:val="2"/>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177090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20北仑02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40,235,200.00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3.13%</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4"/>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700" w:type="dxa"/>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eastAsia="zh-CN"/>
              </w:rPr>
              <w:t>产品</w:t>
            </w:r>
            <w:r>
              <w:rPr>
                <w:rFonts w:ascii="原版宋体" w:hAnsi="原版宋体" w:eastAsia="原版宋体" w:cs="原版宋体"/>
                <w:b/>
                <w:color w:val="000000"/>
                <w:sz w:val="20"/>
              </w:rPr>
              <w:t>资产净值（元）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86,526,697.30</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1,284,838,642.78</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6.73%</w:t>
            </w:r>
          </w:p>
        </w:tc>
        <w:tc>
          <w:tcPr>
            <w:tcW w:w="800" w:type="dxa"/>
            <w:gridSpan w:val="2"/>
            <w:vAlign w:val="top"/>
          </w:tcPr>
          <w:p>
            <w:pPr>
              <w:pStyle w:val="3"/>
            </w:pPr>
          </w:p>
        </w:tc>
      </w:tr>
      <w:tr>
        <w:trPr>
          <w:trHeight w:val="82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4"/>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700" w:type="dxa"/>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gridSpan w:val="2"/>
            <w:vAlign w:val="top"/>
          </w:tcPr>
          <w:p>
            <w:pPr>
              <w:pStyle w:val="3"/>
            </w:pPr>
          </w:p>
        </w:tc>
      </w:tr>
      <w:tr>
        <w:trPr>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4"/>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700" w:type="dxa"/>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2020年12月31日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lang w:val="en-US" w:eastAsia="zh-CN" w:bidi="ar-SA"/>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2021-02-05T21:52:00Z</dcterms:created>
  <dc:creator>zrc</dc:creator>
  <dcterms:modified xsi:type="dcterms:W3CDTF">2021-03-24T14:43:42Z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