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结构性存款产品2022年1月11日到期公告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111"/>
        <w:gridCol w:w="2110"/>
        <w:gridCol w:w="1202"/>
        <w:gridCol w:w="2249"/>
        <w:gridCol w:w="2469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JGCK2022023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2023/1/10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1.2552~1.2782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2.17%/3.45%/3.75%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JGCK2022024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2022/7/11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1.2587~1.2747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1.88%/3.20%/3.50%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C20220106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2022/1/11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2022/3/31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EURUSD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＞1.1941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1.59%/3.03%/3.33%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111"/>
        <w:gridCol w:w="2110"/>
        <w:gridCol w:w="1202"/>
        <w:gridCol w:w="2249"/>
        <w:gridCol w:w="246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JGCK2021016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30,000,000 </w:t>
            </w:r>
          </w:p>
        </w:tc>
        <w:tc>
          <w:tcPr>
            <w:tcW w:w="2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2021/1/12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2022/1/11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1.2716~1.2816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3.56%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B514331"/>
    <w:rsid w:val="0E6C7430"/>
    <w:rsid w:val="22CA1297"/>
    <w:rsid w:val="2DB902EE"/>
    <w:rsid w:val="5A150288"/>
    <w:rsid w:val="5CFB0A2A"/>
    <w:rsid w:val="698F4D39"/>
    <w:rsid w:val="74E05016"/>
    <w:rsid w:val="78AB55BD"/>
    <w:rsid w:val="791C445A"/>
    <w:rsid w:val="7A0E6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2022-01-11T06:02:02Z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