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1"/>
        <w:gridCol w:w="800"/>
        <w:gridCol w:w="2000"/>
        <w:gridCol w:w="400"/>
        <w:gridCol w:w="400"/>
        <w:gridCol w:w="400"/>
        <w:gridCol w:w="1000"/>
        <w:gridCol w:w="1600"/>
        <w:gridCol w:w="400"/>
        <w:gridCol w:w="400"/>
        <w:gridCol w:w="1600"/>
        <w:gridCol w:w="1700"/>
        <w:gridCol w:w="800"/>
      </w:tblGrid>
      <w:tr>
        <w:trPr>
          <w:trHeight w:val="0" w:hRule="atLeast"/>
        </w:trPr>
        <w:tc>
          <w:tcPr>
            <w:tcW w:w="1" w:type="dxa"/>
            <w:vAlign w:val="top"/>
          </w:tcPr>
          <w:p>
            <w:pPr>
              <w:pStyle w:val="3"/>
            </w:pPr>
            <w:bookmarkStart w:id="0" w:name="JR_PAGE_ANCHOR_0_1"/>
            <w:bookmarkEnd w:id="0"/>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18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“金港湾惠享1918期”定期报告</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产品管理人：江苏张家港农村商业银行股份有限公司</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产品托管人：宁波银行股份有限公司</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发布时间：2020年12月31日</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5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本报告期自2020年08月05日起至12月31日止。</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5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vAlign w:val="top"/>
          </w:tcPr>
          <w:p>
            <w:pPr>
              <w:pStyle w:val="3"/>
            </w:pPr>
          </w:p>
        </w:tc>
      </w:tr>
      <w:tr>
        <w:trPr>
          <w:trHeight w:val="8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金港湾惠享1918期</w:t>
            </w:r>
          </w:p>
        </w:tc>
        <w:tc>
          <w:tcPr>
            <w:tcW w:w="800" w:type="dxa"/>
            <w:vAlign w:val="top"/>
          </w:tcPr>
          <w:p>
            <w:pPr>
              <w:pStyle w:val="3"/>
            </w:pPr>
          </w:p>
        </w:tc>
      </w:tr>
      <w:tr>
        <w:trPr>
          <w:trHeight w:val="400" w:hRule="exact"/>
        </w:trPr>
        <w:tc>
          <w:tcPr>
            <w:tcW w:w="1" w:type="dxa"/>
            <w:vAlign w:val="top"/>
          </w:tcPr>
          <w:p>
            <w:pPr>
              <w:pStyle w:val="3"/>
              <w:rPr>
                <w:highlight w:val="none"/>
              </w:rPr>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highlight w:val="none"/>
              </w:rPr>
            </w:pPr>
            <w:r>
              <w:rPr>
                <w:rFonts w:ascii="原版宋体" w:hAnsi="原版宋体" w:eastAsia="原版宋体" w:cs="原版宋体"/>
                <w:b/>
                <w:color w:val="000000"/>
                <w:sz w:val="20"/>
                <w:highlight w:val="none"/>
              </w:rPr>
              <w:t>产品编码</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highlight w:val="none"/>
              </w:rPr>
            </w:pPr>
            <w:r>
              <w:rPr>
                <w:rFonts w:ascii="原版宋体" w:hAnsi="原版宋体" w:eastAsia="原版宋体" w:cs="原版宋体"/>
                <w:color w:val="000000"/>
                <w:sz w:val="20"/>
                <w:highlight w:val="none"/>
              </w:rPr>
              <w:t>HX1918</w:t>
            </w:r>
          </w:p>
        </w:tc>
        <w:tc>
          <w:tcPr>
            <w:tcW w:w="800" w:type="dxa"/>
            <w:vAlign w:val="top"/>
          </w:tcPr>
          <w:p>
            <w:pPr>
              <w:pStyle w:val="3"/>
              <w:rPr>
                <w:highlight w:val="none"/>
              </w:rPr>
            </w:pPr>
          </w:p>
        </w:tc>
      </w:tr>
      <w:tr>
        <w:trPr>
          <w:trHeight w:val="400" w:hRule="exact"/>
        </w:trPr>
        <w:tc>
          <w:tcPr>
            <w:tcW w:w="1" w:type="dxa"/>
            <w:vAlign w:val="top"/>
          </w:tcPr>
          <w:p>
            <w:pPr>
              <w:pStyle w:val="3"/>
              <w:rPr>
                <w:highlight w:val="none"/>
              </w:rPr>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highlight w:val="none"/>
              </w:rPr>
            </w:pPr>
            <w:r>
              <w:rPr>
                <w:rFonts w:ascii="原版宋体" w:hAnsi="原版宋体" w:eastAsia="原版宋体" w:cs="原版宋体"/>
                <w:b/>
                <w:color w:val="000000"/>
                <w:sz w:val="20"/>
                <w:highlight w:val="none"/>
              </w:rPr>
              <w:t>全国银行业理财信息登记系统编码</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highlight w:val="none"/>
              </w:rPr>
            </w:pPr>
            <w:r>
              <w:rPr>
                <w:rFonts w:ascii="原版宋体" w:hAnsi="原版宋体" w:eastAsia="原版宋体" w:cs="原版宋体"/>
                <w:color w:val="000000"/>
                <w:sz w:val="20"/>
                <w:highlight w:val="none"/>
              </w:rPr>
              <w:t>C1115620000006</w:t>
            </w:r>
          </w:p>
        </w:tc>
        <w:tc>
          <w:tcPr>
            <w:tcW w:w="800" w:type="dxa"/>
            <w:vAlign w:val="top"/>
          </w:tcPr>
          <w:p>
            <w:pPr>
              <w:pStyle w:val="3"/>
              <w:rPr>
                <w:highlight w:val="none"/>
              </w:rPr>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封闭式净值型</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vAlign w:val="top"/>
          </w:tcPr>
          <w:p>
            <w:pPr>
              <w:pStyle w:val="3"/>
            </w:pPr>
          </w:p>
        </w:tc>
      </w:tr>
      <w:tr>
        <w:trPr>
          <w:trHeight w:val="423"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50,000,000.00</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报告期末单位净值</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1.0073</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报告期末累计单位净值</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1.0073</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报告期末净值增长率（年化）</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highlight w:val="none"/>
              </w:rPr>
            </w:pPr>
            <w:r>
              <w:rPr>
                <w:rFonts w:hint="eastAsia" w:ascii="原版宋体" w:hAnsi="原版宋体" w:eastAsia="原版宋体" w:cs="原版宋体"/>
                <w:color w:val="000000"/>
                <w:sz w:val="20"/>
                <w:highlight w:val="none"/>
                <w:shd w:val="clear" w:color="auto" w:fill="auto"/>
                <w:lang w:val="en-US" w:eastAsia="zh-CN"/>
              </w:rPr>
              <w:t>1.8238</w:t>
            </w:r>
            <w:r>
              <w:rPr>
                <w:rFonts w:ascii="原版宋体" w:hAnsi="原版宋体" w:eastAsia="原版宋体" w:cs="原版宋体"/>
                <w:color w:val="000000"/>
                <w:sz w:val="20"/>
                <w:highlight w:val="none"/>
                <w:shd w:val="clear" w:color="auto" w:fill="auto"/>
              </w:rPr>
              <w:t>%</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5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 xml:space="preserve">3  </w:t>
            </w:r>
            <w:r>
              <w:rPr>
                <w:rFonts w:hint="eastAsia" w:ascii="原版宋体" w:hAnsi="原版宋体" w:eastAsia="原版宋体" w:cs="原版宋体"/>
                <w:b/>
                <w:color w:val="000000"/>
                <w:sz w:val="20"/>
                <w:lang w:eastAsia="zh-CN"/>
              </w:rPr>
              <w:t>投资</w:t>
            </w:r>
            <w:r>
              <w:rPr>
                <w:rFonts w:ascii="原版宋体" w:hAnsi="原版宋体" w:eastAsia="原版宋体" w:cs="原版宋体"/>
                <w:b/>
                <w:color w:val="000000"/>
                <w:sz w:val="20"/>
              </w:rPr>
              <w:t>组合报告</w:t>
            </w:r>
          </w:p>
        </w:tc>
        <w:tc>
          <w:tcPr>
            <w:tcW w:w="800" w:type="dxa"/>
            <w:vAlign w:val="top"/>
          </w:tcPr>
          <w:p>
            <w:pPr>
              <w:pStyle w:val="3"/>
            </w:pPr>
          </w:p>
        </w:tc>
      </w:tr>
      <w:tr>
        <w:trPr>
          <w:trHeight w:val="42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3.1 报告期末</w:t>
            </w:r>
            <w:r>
              <w:rPr>
                <w:rFonts w:hint="eastAsia" w:ascii="原版宋体" w:hAnsi="原版宋体" w:eastAsia="原版宋体" w:cs="原版宋体"/>
                <w:color w:val="000000"/>
                <w:sz w:val="20"/>
                <w:lang w:eastAsia="zh-CN"/>
              </w:rPr>
              <w:t>产品</w:t>
            </w:r>
            <w:r>
              <w:rPr>
                <w:rFonts w:ascii="原版宋体" w:hAnsi="原版宋体" w:eastAsia="原版宋体" w:cs="原版宋体"/>
                <w:color w:val="000000"/>
                <w:sz w:val="20"/>
              </w:rPr>
              <w:t>资产组合情况</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50,685,600.00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99.82%</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其中:银行间/交易所产品</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其中：回购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vAlign w:val="top"/>
          </w:tcPr>
          <w:p>
            <w:pPr>
              <w:pStyle w:val="3"/>
            </w:pPr>
          </w:p>
        </w:tc>
      </w:tr>
      <w:tr>
        <w:trPr>
          <w:trHeight w:val="0" w:hRule="atLeast"/>
        </w:trPr>
        <w:tc>
          <w:tcPr>
            <w:tcW w:w="1" w:type="dxa"/>
            <w:vAlign w:val="top"/>
          </w:tcPr>
          <w:p>
            <w:pPr>
              <w:pStyle w:val="3"/>
              <w:pageBreakBefore/>
            </w:pPr>
            <w:bookmarkStart w:id="1" w:name="JR_PAGE_ANCHOR_0_2"/>
            <w:bookmarkEnd w:id="1"/>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非银行间/非交易所产品</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50,685,600.00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99.82%</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90,662.19</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0.18%</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50,776,262.19</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2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3.2 </w:t>
            </w:r>
            <w:r>
              <w:rPr>
                <w:rFonts w:hint="eastAsia" w:ascii="原版宋体" w:hAnsi="原版宋体" w:eastAsia="原版宋体" w:cs="原版宋体"/>
                <w:color w:val="000000"/>
                <w:sz w:val="20"/>
              </w:rPr>
              <w:t>报告期末按市值占产品资产组合比例大小排名的前十名资产投资明细</w:t>
            </w:r>
          </w:p>
        </w:tc>
        <w:tc>
          <w:tcPr>
            <w:tcW w:w="80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w:t>
            </w:r>
            <w:r>
              <w:rPr>
                <w:rFonts w:hint="eastAsia" w:ascii="原版宋体" w:hAnsi="原版宋体" w:eastAsia="原版宋体" w:cs="原版宋体"/>
                <w:b/>
                <w:color w:val="000000"/>
                <w:sz w:val="20"/>
                <w:lang w:eastAsia="zh-CN"/>
              </w:rPr>
              <w:t>产品</w:t>
            </w:r>
            <w:r>
              <w:rPr>
                <w:rFonts w:ascii="原版宋体" w:hAnsi="原版宋体" w:eastAsia="原版宋体" w:cs="原版宋体"/>
                <w:b/>
                <w:color w:val="000000"/>
                <w:sz w:val="20"/>
              </w:rPr>
              <w:t>资产组合比例（％）</w:t>
            </w:r>
          </w:p>
        </w:tc>
        <w:tc>
          <w:tcPr>
            <w:tcW w:w="80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XHT7H                           </w:t>
            </w:r>
          </w:p>
        </w:tc>
        <w:tc>
          <w:tcPr>
            <w:tcW w:w="2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鑫元基金-鑫合通7号资产管理计划</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43,100,000.00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50,685,600.00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w:t>
            </w:r>
            <w:r>
              <w:rPr>
                <w:rFonts w:hint="eastAsia" w:ascii="原版宋体" w:hAnsi="原版宋体" w:eastAsia="原版宋体" w:cs="原版宋体"/>
                <w:color w:val="000000"/>
                <w:sz w:val="20"/>
                <w:lang w:val="en-US" w:eastAsia="zh-CN"/>
              </w:rPr>
              <w:t>82</w:t>
            </w:r>
            <w:bookmarkStart w:id="2" w:name="_GoBack"/>
            <w:bookmarkEnd w:id="2"/>
            <w:r>
              <w:rPr>
                <w:rFonts w:ascii="原版宋体" w:hAnsi="原版宋体" w:eastAsia="原版宋体" w:cs="原版宋体"/>
                <w:color w:val="000000"/>
                <w:sz w:val="20"/>
              </w:rPr>
              <w:t>%</w:t>
            </w:r>
          </w:p>
        </w:tc>
        <w:tc>
          <w:tcPr>
            <w:tcW w:w="80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2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3.3 报告期末资产组合流动性风险分析</w:t>
            </w:r>
          </w:p>
        </w:tc>
        <w:tc>
          <w:tcPr>
            <w:tcW w:w="800" w:type="dxa"/>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b/>
                <w:color w:val="000000"/>
                <w:sz w:val="20"/>
                <w:lang w:eastAsia="zh-CN"/>
              </w:rPr>
              <w:t>产品资产</w:t>
            </w:r>
            <w:r>
              <w:rPr>
                <w:rFonts w:ascii="原版宋体" w:hAnsi="原版宋体" w:eastAsia="原版宋体" w:cs="原版宋体"/>
                <w:b/>
                <w:color w:val="000000"/>
                <w:sz w:val="20"/>
              </w:rPr>
              <w:t>净值（元）</w:t>
            </w:r>
          </w:p>
        </w:tc>
        <w:tc>
          <w:tcPr>
            <w:tcW w:w="4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800" w:type="dxa"/>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90,662.19</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50,367,021.77</w:t>
            </w:r>
          </w:p>
        </w:tc>
        <w:tc>
          <w:tcPr>
            <w:tcW w:w="4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0.18%</w:t>
            </w:r>
          </w:p>
        </w:tc>
        <w:tc>
          <w:tcPr>
            <w:tcW w:w="800" w:type="dxa"/>
            <w:vAlign w:val="top"/>
          </w:tcPr>
          <w:p>
            <w:pPr>
              <w:pStyle w:val="3"/>
            </w:pPr>
          </w:p>
        </w:tc>
      </w:tr>
      <w:tr>
        <w:trPr>
          <w:trHeight w:val="82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12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产品管理人通过合理安排资产配置结构，保持一定比例的流动性资产，控制资产久期、杠杆融资比例，管控产品流动性风险。持仓中主要以一定比例的中高等级信用债或非标资产为主，风险总体可控。</w:t>
            </w:r>
          </w:p>
        </w:tc>
        <w:tc>
          <w:tcPr>
            <w:tcW w:w="800" w:type="dxa"/>
            <w:vAlign w:val="top"/>
          </w:tcPr>
          <w:p>
            <w:pPr>
              <w:pStyle w:val="3"/>
            </w:pPr>
          </w:p>
        </w:tc>
      </w:tr>
      <w:tr>
        <w:trPr>
          <w:trHeight w:val="88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江苏张家港农村商业银行股份有限公司</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2020年12月31日</w:t>
            </w:r>
          </w:p>
        </w:tc>
        <w:tc>
          <w:tcPr>
            <w:tcW w:w="800" w:type="dxa"/>
            <w:vAlign w:val="top"/>
          </w:tcPr>
          <w:p>
            <w:pPr>
              <w:pStyle w:val="3"/>
            </w:pPr>
          </w:p>
        </w:tc>
      </w:tr>
    </w:tbl>
    <w:p/>
    <w:sectPr>
      <w:pgSz w:w="13900" w:h="16840"/>
      <w:pgMar w:top="800" w:right="1200" w:bottom="440" w:left="1200" w:header="0" w:footer="0" w:gutter="0"/>
      <w:cols w:space="720" w:num="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40001" w:csb1="00000000"/>
  </w:font>
  <w:font w:name="原版宋体">
    <w:altName w:val="宋体"/>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efaultTabStop w:val="800"/>
  <w:displayHorizontalDrawingGridEvery w:val="1"/>
  <w:displayVerticalDrawingGridEvery w:val="1"/>
  <w:characterSpacingControl w:val="compressPunctuation"/>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Calibri" w:hAnsi="Calibri" w:eastAsia="宋体" w:cs="黑体"/>
      <w:sz w:val="21"/>
      <w:szCs w:val="22"/>
    </w:rPr>
  </w:style>
  <w:style w:type="character" w:default="1" w:styleId="2">
    <w:name w:val="Default Paragraph Font"/>
  </w:style>
  <w:style w:type="paragraph" w:customStyle="1" w:styleId="3">
    <w:name w:val="EMPTY_CELL_STYLE"/>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2021-02-07T09:44:00Z</dcterms:created>
  <dc:creator>zrc</dc:creator>
  <dcterms:modified xsi:type="dcterms:W3CDTF">2021-03-24T14:18:49Z</dcterms:modified>
  <dc:title>zrc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