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“金港湾悠享月开1号”人民币理财产品清算确认日公告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悠享月开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5月16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2"/>
        <w:tblpPr w:leftFromText="180" w:rightFromText="180" w:vertAnchor="text" w:horzAnchor="page" w:tblpX="2370" w:tblpY="160"/>
        <w:tblOverlap w:val="never"/>
        <w:tblW w:w="777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75"/>
        <w:gridCol w:w="3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2022/4/15(含)-2022/5/16（不含）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本投资周期末实现的单位净值（元）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1.00290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3.30%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3.4125%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2022/5/16(含)-2022/6/15（不含）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下一清算确认日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2022/6/15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3.20%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  <w:bookmarkStart w:id="0" w:name="_GoBack"/>
      <w:bookmarkEnd w:id="0"/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2022年5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17日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F43D68"/>
    <w:rsid w:val="10615640"/>
    <w:rsid w:val="113A7A41"/>
    <w:rsid w:val="20AE5EA5"/>
    <w:rsid w:val="3FAC644F"/>
    <w:rsid w:val="4E7251D6"/>
    <w:rsid w:val="5DF73D92"/>
    <w:rsid w:val="5F124AEB"/>
    <w:rsid w:val="788E4438"/>
    <w:rsid w:val="7E9F6F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2018-09-19T16:02:00Z</dcterms:created>
  <dc:creator>zrc</dc:creator>
  <cp:lastModifiedBy>zrcbank</cp:lastModifiedBy>
  <cp:lastPrinted>2018-09-19T16:09:00Z</cp:lastPrinted>
  <dcterms:modified xsi:type="dcterms:W3CDTF">2022-05-17T01:59:13Z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