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wordWrap/>
        <w:adjustRightInd/>
        <w:snapToGrid/>
        <w:spacing w:before="0" w:after="0" w:line="540" w:lineRule="exact"/>
        <w:jc w:val="center"/>
        <w:textAlignment w:val="auto"/>
        <w:rPr>
          <w:rFonts w:hint="eastAsia" w:ascii="宋体" w:hAnsi="宋体" w:eastAsia="宋体" w:cs="宋体"/>
          <w:b/>
          <w:kern w:val="36"/>
          <w:sz w:val="40"/>
          <w:szCs w:val="28"/>
          <w:lang w:val="en-US" w:eastAsia="zh-CN"/>
        </w:rPr>
      </w:pPr>
      <w:r>
        <w:rPr>
          <w:rFonts w:hint="eastAsia" w:ascii="宋体" w:hAnsi="宋体" w:eastAsia="宋体" w:cs="宋体"/>
          <w:b/>
          <w:kern w:val="36"/>
          <w:sz w:val="40"/>
          <w:szCs w:val="28"/>
          <w:lang w:val="en-US" w:eastAsia="zh-CN"/>
        </w:rPr>
        <w:t>光大信托-盛元纯债大家2号集合资金</w:t>
      </w:r>
    </w:p>
    <w:p>
      <w:pPr>
        <w:pStyle w:val="8"/>
        <w:widowControl/>
        <w:wordWrap/>
        <w:adjustRightInd/>
        <w:snapToGrid/>
        <w:spacing w:before="0" w:after="0" w:line="540" w:lineRule="exact"/>
        <w:jc w:val="center"/>
        <w:textAlignment w:val="auto"/>
        <w:rPr>
          <w:rFonts w:hint="eastAsia" w:ascii="宋体" w:hAnsi="宋体" w:eastAsia="宋体" w:cs="宋体"/>
        </w:rPr>
      </w:pPr>
      <w:r>
        <w:rPr>
          <w:rFonts w:hint="eastAsia" w:ascii="宋体" w:hAnsi="宋体" w:eastAsia="宋体" w:cs="宋体"/>
          <w:b/>
          <w:kern w:val="36"/>
          <w:sz w:val="40"/>
          <w:szCs w:val="28"/>
          <w:lang w:val="en-US" w:eastAsia="zh-CN"/>
        </w:rPr>
        <w:t>信托计划（第三期）募集公告</w:t>
      </w:r>
    </w:p>
    <w:p>
      <w:pPr>
        <w:rPr>
          <w:rFonts w:hint="eastAsia"/>
          <w:lang w:eastAsia="zh-CN"/>
        </w:rPr>
      </w:pPr>
    </w:p>
    <w:p>
      <w:pPr>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信托产品要素</w:t>
      </w:r>
    </w:p>
    <w:tbl>
      <w:tblPr>
        <w:tblStyle w:val="4"/>
        <w:tblW w:w="8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761"/>
        <w:gridCol w:w="2359"/>
        <w:gridCol w:w="2386"/>
        <w:gridCol w:w="19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1761"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产品名称及代码</w:t>
            </w:r>
          </w:p>
        </w:tc>
        <w:tc>
          <w:tcPr>
            <w:tcW w:w="6654" w:type="dxa"/>
            <w:gridSpan w:val="3"/>
            <w:tcBorders>
              <w:top w:val="single" w:color="000000" w:sz="8" w:space="0"/>
              <w:left w:val="nil"/>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Style w:val="12"/>
                <w:lang w:val="en-US" w:eastAsia="zh-CN" w:bidi="ar"/>
              </w:rPr>
              <w:t>产品名称：光大信托-盛元纯债大家2号集合资金信托计划</w:t>
            </w:r>
            <w:r>
              <w:rPr>
                <w:rStyle w:val="13"/>
                <w:lang w:val="en-US" w:eastAsia="zh-CN" w:bidi="ar"/>
              </w:rPr>
              <w:t>（第三期）</w:t>
            </w:r>
            <w:r>
              <w:rPr>
                <w:rStyle w:val="1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5" w:hRule="atLeast"/>
        </w:trPr>
        <w:tc>
          <w:tcPr>
            <w:tcW w:w="1761"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left"/>
              <w:rPr>
                <w:rFonts w:hint="eastAsia" w:ascii="仿宋" w:hAnsi="仿宋" w:eastAsia="仿宋" w:cs="仿宋"/>
                <w:b/>
                <w:i w:val="0"/>
                <w:color w:val="000000"/>
                <w:sz w:val="21"/>
                <w:szCs w:val="21"/>
                <w:u w:val="none"/>
              </w:rPr>
            </w:pPr>
          </w:p>
        </w:tc>
        <w:tc>
          <w:tcPr>
            <w:tcW w:w="6654"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产品代码：ZXD31G202203010025733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7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产品类型</w:t>
            </w:r>
          </w:p>
        </w:tc>
        <w:tc>
          <w:tcPr>
            <w:tcW w:w="6654"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纯债类、净值型、固定收益类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0" w:hRule="atLeast"/>
        </w:trPr>
        <w:tc>
          <w:tcPr>
            <w:tcW w:w="17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风险等级</w:t>
            </w:r>
          </w:p>
        </w:tc>
        <w:tc>
          <w:tcPr>
            <w:tcW w:w="2359"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Style w:val="12"/>
                <w:lang w:val="en-US" w:eastAsia="zh-CN" w:bidi="ar"/>
              </w:rPr>
              <w:t>“R3级”中风险</w:t>
            </w:r>
          </w:p>
        </w:tc>
        <w:tc>
          <w:tcPr>
            <w:tcW w:w="2386"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信托公司内部风险等级</w:t>
            </w:r>
          </w:p>
        </w:tc>
        <w:tc>
          <w:tcPr>
            <w:tcW w:w="1909"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“R2级”中低风险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1" w:hRule="atLeast"/>
        </w:trPr>
        <w:tc>
          <w:tcPr>
            <w:tcW w:w="17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受托管理人</w:t>
            </w:r>
          </w:p>
        </w:tc>
        <w:tc>
          <w:tcPr>
            <w:tcW w:w="6654"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光大兴陇信托有限责任公司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5" w:hRule="atLeast"/>
        </w:trPr>
        <w:tc>
          <w:tcPr>
            <w:tcW w:w="17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托管行</w:t>
            </w:r>
          </w:p>
        </w:tc>
        <w:tc>
          <w:tcPr>
            <w:tcW w:w="6654"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招商银行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6" w:hRule="atLeast"/>
        </w:trPr>
        <w:tc>
          <w:tcPr>
            <w:tcW w:w="17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募集对象</w:t>
            </w:r>
          </w:p>
        </w:tc>
        <w:tc>
          <w:tcPr>
            <w:tcW w:w="6654"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合格投资者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17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募集时间</w:t>
            </w:r>
          </w:p>
        </w:tc>
        <w:tc>
          <w:tcPr>
            <w:tcW w:w="6654"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2022年10月25日--2022年10月27日，视产品募集情况可提前结束或延期销售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1761"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信托期限</w:t>
            </w:r>
          </w:p>
        </w:tc>
        <w:tc>
          <w:tcPr>
            <w:tcW w:w="6654" w:type="dxa"/>
            <w:gridSpan w:val="3"/>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本信托计划的期限为长期存续。本期信托单位期限为</w:t>
            </w:r>
            <w:r>
              <w:rPr>
                <w:rFonts w:hint="eastAsia" w:ascii="仿宋" w:hAnsi="仿宋" w:eastAsia="仿宋" w:cs="仿宋"/>
                <w:b/>
                <w:bCs/>
                <w:i w:val="0"/>
                <w:color w:val="000000"/>
                <w:kern w:val="0"/>
                <w:sz w:val="21"/>
                <w:szCs w:val="21"/>
                <w:u w:val="none"/>
                <w:lang w:val="en-US" w:eastAsia="zh-CN" w:bidi="ar"/>
              </w:rPr>
              <w:t>367</w:t>
            </w:r>
            <w:r>
              <w:rPr>
                <w:rFonts w:hint="eastAsia" w:ascii="仿宋" w:hAnsi="仿宋" w:eastAsia="仿宋" w:cs="仿宋"/>
                <w:i w:val="0"/>
                <w:color w:val="000000"/>
                <w:kern w:val="0"/>
                <w:sz w:val="21"/>
                <w:szCs w:val="21"/>
                <w:u w:val="none"/>
                <w:lang w:val="en-US" w:eastAsia="zh-CN" w:bidi="ar"/>
              </w:rPr>
              <w:t>天，自本期信托单位成立之日（含）开始计算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1761" w:type="dxa"/>
            <w:vMerge w:val="restart"/>
            <w:tcBorders>
              <w:top w:val="single" w:color="auto" w:sz="4" w:space="0"/>
              <w:left w:val="single" w:color="auto" w:sz="4" w:space="0"/>
              <w:bottom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投资范围</w:t>
            </w:r>
          </w:p>
        </w:tc>
        <w:tc>
          <w:tcPr>
            <w:tcW w:w="6654" w:type="dxa"/>
            <w:gridSpan w:val="3"/>
            <w:tcBorders>
              <w:top w:val="single" w:color="auto" w:sz="4" w:space="0"/>
              <w:left w:val="nil"/>
              <w:bottom w:val="nil"/>
              <w:right w:val="single" w:color="auto" w:sz="4" w:space="0"/>
            </w:tcBorders>
            <w:shd w:val="clear" w:color="auto" w:fill="auto"/>
            <w:tcMar>
              <w:top w:w="15" w:type="dxa"/>
              <w:left w:w="15" w:type="dxa"/>
              <w:right w:w="15" w:type="dxa"/>
            </w:tcMar>
            <w:vAlign w:val="center"/>
          </w:tcPr>
          <w:p>
            <w:pPr>
              <w:keepNext w:val="0"/>
              <w:keepLines w:val="0"/>
              <w:widowControl/>
              <w:suppressLineNumbers w:val="0"/>
              <w:ind w:firstLineChars="200"/>
              <w:jc w:val="both"/>
              <w:textAlignment w:val="center"/>
              <w:rPr>
                <w:rFonts w:hint="eastAsia" w:ascii="仿宋" w:hAnsi="仿宋" w:eastAsia="仿宋" w:cs="仿宋"/>
                <w:i w:val="0"/>
                <w:color w:val="000000"/>
                <w:sz w:val="21"/>
                <w:szCs w:val="21"/>
                <w:u w:val="none"/>
              </w:rPr>
            </w:pPr>
            <w:r>
              <w:rPr>
                <w:rStyle w:val="12"/>
                <w:lang w:val="en-US" w:eastAsia="zh-CN" w:bidi="ar"/>
              </w:rPr>
              <w:t>（1）货币市场工具，包括但不限于现金、逆回购、银行存款、大额可转让存单、货币基金等。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40" w:hRule="atLeast"/>
        </w:trPr>
        <w:tc>
          <w:tcPr>
            <w:tcW w:w="1761" w:type="dxa"/>
            <w:vMerge w:val="continue"/>
            <w:tcBorders>
              <w:top w:val="nil"/>
              <w:left w:val="single" w:color="auto" w:sz="4" w:space="0"/>
              <w:bottom w:val="nil"/>
              <w:right w:val="single" w:color="000000" w:sz="8" w:space="0"/>
            </w:tcBorders>
            <w:shd w:val="clear" w:color="auto" w:fill="auto"/>
            <w:tcMar>
              <w:top w:w="15" w:type="dxa"/>
              <w:left w:w="15" w:type="dxa"/>
              <w:right w:w="15" w:type="dxa"/>
            </w:tcMar>
            <w:vAlign w:val="center"/>
          </w:tcPr>
          <w:p>
            <w:pPr>
              <w:jc w:val="both"/>
              <w:rPr>
                <w:rFonts w:hint="eastAsia" w:ascii="仿宋" w:hAnsi="仿宋" w:eastAsia="仿宋" w:cs="仿宋"/>
                <w:b/>
                <w:i w:val="0"/>
                <w:color w:val="000000"/>
                <w:sz w:val="21"/>
                <w:szCs w:val="21"/>
                <w:u w:val="none"/>
              </w:rPr>
            </w:pPr>
          </w:p>
        </w:tc>
        <w:tc>
          <w:tcPr>
            <w:tcW w:w="6654" w:type="dxa"/>
            <w:gridSpan w:val="3"/>
            <w:tcBorders>
              <w:top w:val="nil"/>
              <w:left w:val="nil"/>
              <w:bottom w:val="nil"/>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（2）交易所和银行间市场上市交易的债券，包括但不限于国债、中央银行票据、政策性金融债、地方政府债、企业债券、公司债券（含私募公司债）、各类金融债、经银行间市场交</w:t>
            </w:r>
            <w:bookmarkStart w:id="0" w:name="_GoBack"/>
            <w:bookmarkEnd w:id="0"/>
            <w:r>
              <w:rPr>
                <w:rFonts w:hint="eastAsia" w:ascii="仿宋" w:hAnsi="仿宋" w:eastAsia="仿宋" w:cs="仿宋"/>
                <w:i w:val="0"/>
                <w:color w:val="000000"/>
                <w:kern w:val="0"/>
                <w:sz w:val="21"/>
                <w:szCs w:val="21"/>
                <w:u w:val="none"/>
                <w:lang w:val="en-US" w:eastAsia="zh-CN" w:bidi="ar"/>
              </w:rPr>
              <w:t>易商协会批准注册发行的各类债务融资工具（包括但不限于短期融资券、超短期融资券、中期票据、非公开定向债务融资工具（PPN）等）、各类信用风险缓释工具、可交换债、可转债等；以及资产支持证券。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761" w:type="dxa"/>
            <w:vMerge w:val="continue"/>
            <w:tcBorders>
              <w:top w:val="nil"/>
              <w:left w:val="single" w:color="auto" w:sz="4" w:space="0"/>
              <w:bottom w:val="nil"/>
              <w:right w:val="single" w:color="000000" w:sz="8" w:space="0"/>
            </w:tcBorders>
            <w:shd w:val="clear" w:color="auto" w:fill="auto"/>
            <w:tcMar>
              <w:top w:w="15" w:type="dxa"/>
              <w:left w:w="15" w:type="dxa"/>
              <w:right w:w="15" w:type="dxa"/>
            </w:tcMar>
            <w:vAlign w:val="center"/>
          </w:tcPr>
          <w:p>
            <w:pPr>
              <w:jc w:val="both"/>
              <w:rPr>
                <w:rFonts w:hint="eastAsia" w:ascii="仿宋" w:hAnsi="仿宋" w:eastAsia="仿宋" w:cs="仿宋"/>
                <w:b/>
                <w:i w:val="0"/>
                <w:color w:val="000000"/>
                <w:sz w:val="21"/>
                <w:szCs w:val="21"/>
                <w:u w:val="none"/>
              </w:rPr>
            </w:pPr>
          </w:p>
        </w:tc>
        <w:tc>
          <w:tcPr>
            <w:tcW w:w="6654" w:type="dxa"/>
            <w:gridSpan w:val="3"/>
            <w:tcBorders>
              <w:top w:val="nil"/>
              <w:left w:val="nil"/>
              <w:bottom w:val="nil"/>
              <w:right w:val="single" w:color="auto" w:sz="4" w:space="0"/>
            </w:tcBorders>
            <w:shd w:val="clear" w:color="auto" w:fill="auto"/>
            <w:tcMar>
              <w:top w:w="15" w:type="dxa"/>
              <w:left w:w="15" w:type="dxa"/>
              <w:right w:w="15" w:type="dxa"/>
            </w:tcMar>
            <w:vAlign w:val="center"/>
          </w:tcPr>
          <w:p>
            <w:pPr>
              <w:keepNext w:val="0"/>
              <w:keepLines w:val="0"/>
              <w:widowControl/>
              <w:suppressLineNumbers w:val="0"/>
              <w:ind w:firstLineChars="200"/>
              <w:jc w:val="both"/>
              <w:textAlignment w:val="center"/>
              <w:rPr>
                <w:rFonts w:hint="eastAsia" w:ascii="仿宋" w:hAnsi="仿宋" w:eastAsia="仿宋" w:cs="仿宋"/>
                <w:i w:val="0"/>
                <w:color w:val="000000"/>
                <w:sz w:val="21"/>
                <w:szCs w:val="21"/>
                <w:u w:val="none"/>
              </w:rPr>
            </w:pPr>
            <w:r>
              <w:rPr>
                <w:rStyle w:val="12"/>
                <w:lang w:val="en-US" w:eastAsia="zh-CN" w:bidi="ar"/>
              </w:rPr>
              <w:t>（3）债券型基金。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1761" w:type="dxa"/>
            <w:vMerge w:val="continue"/>
            <w:tcBorders>
              <w:top w:val="nil"/>
              <w:left w:val="single" w:color="auto" w:sz="4" w:space="0"/>
              <w:bottom w:val="nil"/>
              <w:right w:val="single" w:color="000000" w:sz="8" w:space="0"/>
            </w:tcBorders>
            <w:shd w:val="clear" w:color="auto" w:fill="auto"/>
            <w:tcMar>
              <w:top w:w="15" w:type="dxa"/>
              <w:left w:w="15" w:type="dxa"/>
              <w:right w:w="15" w:type="dxa"/>
            </w:tcMar>
            <w:vAlign w:val="center"/>
          </w:tcPr>
          <w:p>
            <w:pPr>
              <w:jc w:val="both"/>
              <w:rPr>
                <w:rFonts w:hint="eastAsia" w:ascii="仿宋" w:hAnsi="仿宋" w:eastAsia="仿宋" w:cs="仿宋"/>
                <w:b/>
                <w:i w:val="0"/>
                <w:color w:val="000000"/>
                <w:sz w:val="21"/>
                <w:szCs w:val="21"/>
                <w:u w:val="none"/>
              </w:rPr>
            </w:pPr>
          </w:p>
        </w:tc>
        <w:tc>
          <w:tcPr>
            <w:tcW w:w="6654" w:type="dxa"/>
            <w:gridSpan w:val="3"/>
            <w:tcBorders>
              <w:top w:val="nil"/>
              <w:left w:val="nil"/>
              <w:bottom w:val="nil"/>
              <w:right w:val="single" w:color="auto" w:sz="4" w:space="0"/>
            </w:tcBorders>
            <w:shd w:val="clear" w:color="auto" w:fill="auto"/>
            <w:tcMar>
              <w:top w:w="15" w:type="dxa"/>
              <w:left w:w="15" w:type="dxa"/>
              <w:right w:w="15" w:type="dxa"/>
            </w:tcMar>
            <w:vAlign w:val="center"/>
          </w:tcPr>
          <w:p>
            <w:pPr>
              <w:keepNext w:val="0"/>
              <w:keepLines w:val="0"/>
              <w:widowControl/>
              <w:suppressLineNumbers w:val="0"/>
              <w:ind w:firstLineChars="200"/>
              <w:jc w:val="both"/>
              <w:textAlignment w:val="center"/>
              <w:rPr>
                <w:rFonts w:hint="eastAsia" w:ascii="仿宋" w:hAnsi="仿宋" w:eastAsia="仿宋" w:cs="仿宋"/>
                <w:i w:val="0"/>
                <w:color w:val="000000"/>
                <w:sz w:val="21"/>
                <w:szCs w:val="21"/>
                <w:u w:val="none"/>
              </w:rPr>
            </w:pPr>
            <w:r>
              <w:rPr>
                <w:rStyle w:val="12"/>
                <w:lang w:val="en-US" w:eastAsia="zh-CN" w:bidi="ar"/>
              </w:rPr>
              <w:t>（4）固定收益类资产管理产品。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1761" w:type="dxa"/>
            <w:vMerge w:val="continue"/>
            <w:tcBorders>
              <w:top w:val="nil"/>
              <w:left w:val="single" w:color="auto" w:sz="4" w:space="0"/>
              <w:bottom w:val="nil"/>
              <w:right w:val="single" w:color="000000" w:sz="8" w:space="0"/>
            </w:tcBorders>
            <w:shd w:val="clear" w:color="auto" w:fill="auto"/>
            <w:tcMar>
              <w:top w:w="15" w:type="dxa"/>
              <w:left w:w="15" w:type="dxa"/>
              <w:right w:w="15" w:type="dxa"/>
            </w:tcMar>
            <w:vAlign w:val="center"/>
          </w:tcPr>
          <w:p>
            <w:pPr>
              <w:jc w:val="both"/>
              <w:rPr>
                <w:rFonts w:hint="eastAsia" w:ascii="仿宋" w:hAnsi="仿宋" w:eastAsia="仿宋" w:cs="仿宋"/>
                <w:b/>
                <w:i w:val="0"/>
                <w:color w:val="000000"/>
                <w:sz w:val="21"/>
                <w:szCs w:val="21"/>
                <w:u w:val="none"/>
              </w:rPr>
            </w:pPr>
          </w:p>
        </w:tc>
        <w:tc>
          <w:tcPr>
            <w:tcW w:w="6654" w:type="dxa"/>
            <w:gridSpan w:val="3"/>
            <w:tcBorders>
              <w:top w:val="nil"/>
              <w:left w:val="nil"/>
              <w:bottom w:val="nil"/>
              <w:right w:val="single" w:color="auto" w:sz="4" w:space="0"/>
            </w:tcBorders>
            <w:shd w:val="clear" w:color="auto" w:fill="auto"/>
            <w:tcMar>
              <w:top w:w="15" w:type="dxa"/>
              <w:left w:w="15" w:type="dxa"/>
              <w:right w:w="15" w:type="dxa"/>
            </w:tcMar>
            <w:vAlign w:val="center"/>
          </w:tcPr>
          <w:p>
            <w:pPr>
              <w:keepNext w:val="0"/>
              <w:keepLines w:val="0"/>
              <w:widowControl/>
              <w:suppressLineNumbers w:val="0"/>
              <w:ind w:firstLineChars="200"/>
              <w:jc w:val="both"/>
              <w:textAlignment w:val="center"/>
              <w:rPr>
                <w:rFonts w:hint="eastAsia" w:ascii="仿宋" w:hAnsi="仿宋" w:eastAsia="仿宋" w:cs="仿宋"/>
                <w:i w:val="0"/>
                <w:color w:val="000000"/>
                <w:sz w:val="21"/>
                <w:szCs w:val="21"/>
                <w:u w:val="none"/>
              </w:rPr>
            </w:pPr>
            <w:r>
              <w:rPr>
                <w:rStyle w:val="12"/>
                <w:lang w:val="en-US" w:eastAsia="zh-CN" w:bidi="ar"/>
              </w:rPr>
              <w:t>（5）委托人、受托人（兼管理人）双方一致确认的符合法律法规及监管政策要求的其他固收类投资品种。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20" w:hRule="atLeast"/>
        </w:trPr>
        <w:tc>
          <w:tcPr>
            <w:tcW w:w="1761" w:type="dxa"/>
            <w:vMerge w:val="continue"/>
            <w:tcBorders>
              <w:top w:val="nil"/>
              <w:left w:val="single" w:color="auto" w:sz="4" w:space="0"/>
              <w:bottom w:val="nil"/>
              <w:right w:val="single" w:color="000000" w:sz="8" w:space="0"/>
            </w:tcBorders>
            <w:shd w:val="clear" w:color="auto" w:fill="auto"/>
            <w:tcMar>
              <w:top w:w="15" w:type="dxa"/>
              <w:left w:w="15" w:type="dxa"/>
              <w:right w:w="15" w:type="dxa"/>
            </w:tcMar>
            <w:vAlign w:val="center"/>
          </w:tcPr>
          <w:p>
            <w:pPr>
              <w:jc w:val="both"/>
              <w:rPr>
                <w:rFonts w:hint="eastAsia" w:ascii="仿宋" w:hAnsi="仿宋" w:eastAsia="仿宋" w:cs="仿宋"/>
                <w:b/>
                <w:i w:val="0"/>
                <w:color w:val="000000"/>
                <w:sz w:val="21"/>
                <w:szCs w:val="21"/>
                <w:u w:val="none"/>
              </w:rPr>
            </w:pPr>
          </w:p>
        </w:tc>
        <w:tc>
          <w:tcPr>
            <w:tcW w:w="6654" w:type="dxa"/>
            <w:gridSpan w:val="3"/>
            <w:tcBorders>
              <w:top w:val="nil"/>
              <w:left w:val="nil"/>
              <w:bottom w:val="nil"/>
              <w:right w:val="single" w:color="auto" w:sz="4" w:space="0"/>
            </w:tcBorders>
            <w:shd w:val="clear" w:color="auto" w:fill="auto"/>
            <w:tcMar>
              <w:top w:w="15" w:type="dxa"/>
              <w:left w:w="15" w:type="dxa"/>
              <w:right w:w="15" w:type="dxa"/>
            </w:tcMar>
            <w:vAlign w:val="center"/>
          </w:tcPr>
          <w:p>
            <w:pPr>
              <w:keepNext w:val="0"/>
              <w:keepLines w:val="0"/>
              <w:widowControl/>
              <w:suppressLineNumbers w:val="0"/>
              <w:ind w:firstLineChars="200"/>
              <w:jc w:val="both"/>
              <w:textAlignment w:val="center"/>
              <w:rPr>
                <w:rFonts w:hint="eastAsia" w:ascii="仿宋" w:hAnsi="仿宋" w:eastAsia="仿宋" w:cs="仿宋"/>
                <w:i w:val="0"/>
                <w:color w:val="000000"/>
                <w:sz w:val="21"/>
                <w:szCs w:val="21"/>
                <w:u w:val="none"/>
              </w:rPr>
            </w:pPr>
            <w:r>
              <w:rPr>
                <w:rStyle w:val="12"/>
                <w:lang w:val="en-US" w:eastAsia="zh-CN" w:bidi="ar"/>
              </w:rPr>
              <w:t>（6）信托业保障基金。委托人知晓并接受，根据《信托业保障基金管理办法》及有权机关或机构的其他规定，委托受托人以信托财产初始本金金额的1%认购信托业保障基金，该等认购行为系本信托计划项下信托财产投资的一部分，所产生的投资收益归属信托财产。委托人委托受托人以信托资金认购信托业保障基金，不代表受托人或任何其他有权机关承诺或保证本信托计划赢利或本金不受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1761" w:type="dxa"/>
            <w:vMerge w:val="continue"/>
            <w:tcBorders>
              <w:top w:val="nil"/>
              <w:left w:val="single" w:color="auto" w:sz="4" w:space="0"/>
              <w:bottom w:val="single" w:color="auto" w:sz="4" w:space="0"/>
              <w:right w:val="single" w:color="000000" w:sz="8" w:space="0"/>
            </w:tcBorders>
            <w:shd w:val="clear" w:color="auto" w:fill="auto"/>
            <w:tcMar>
              <w:top w:w="15" w:type="dxa"/>
              <w:left w:w="15" w:type="dxa"/>
              <w:right w:w="15" w:type="dxa"/>
            </w:tcMar>
            <w:vAlign w:val="center"/>
          </w:tcPr>
          <w:p>
            <w:pPr>
              <w:jc w:val="both"/>
              <w:rPr>
                <w:rFonts w:hint="eastAsia" w:ascii="仿宋" w:hAnsi="仿宋" w:eastAsia="仿宋" w:cs="仿宋"/>
                <w:b/>
                <w:i w:val="0"/>
                <w:color w:val="000000"/>
                <w:sz w:val="21"/>
                <w:szCs w:val="21"/>
                <w:u w:val="none"/>
              </w:rPr>
            </w:pPr>
          </w:p>
        </w:tc>
        <w:tc>
          <w:tcPr>
            <w:tcW w:w="6654" w:type="dxa"/>
            <w:gridSpan w:val="3"/>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ind w:firstLine="422" w:firstLineChars="200"/>
              <w:jc w:val="both"/>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如法律法规或监管机构以后允许投资其他品种，受托人在履行适当并可依据届时有效的法</w:t>
            </w:r>
            <w:r>
              <w:rPr>
                <w:rFonts w:hint="eastAsia" w:ascii="仿宋" w:hAnsi="仿宋" w:eastAsia="仿宋" w:cs="仿宋"/>
                <w:b/>
                <w:i w:val="0"/>
                <w:color w:val="000000"/>
                <w:kern w:val="0"/>
                <w:sz w:val="21"/>
                <w:szCs w:val="21"/>
                <w:u w:val="none"/>
                <w:lang w:val="en-US" w:eastAsia="zh-CN" w:bidi="ar"/>
              </w:rPr>
              <w:t>程序后，可以将其纳入投资范围，</w:t>
            </w:r>
            <w:r>
              <w:rPr>
                <w:rFonts w:hint="eastAsia" w:ascii="仿宋" w:hAnsi="仿宋" w:eastAsia="仿宋" w:cs="仿宋"/>
                <w:b/>
                <w:i w:val="0"/>
                <w:color w:val="000000"/>
                <w:kern w:val="0"/>
                <w:sz w:val="21"/>
                <w:szCs w:val="21"/>
                <w:u w:val="none"/>
                <w:lang w:val="en-US" w:eastAsia="zh-CN" w:bidi="ar"/>
              </w:rPr>
              <w:t>律法规适时合理地调整投资范围。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6" w:hRule="atLeast"/>
        </w:trPr>
        <w:tc>
          <w:tcPr>
            <w:tcW w:w="1761" w:type="dxa"/>
            <w:tcBorders>
              <w:top w:val="single" w:color="auto" w:sz="4" w:space="0"/>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投资起点</w:t>
            </w:r>
          </w:p>
        </w:tc>
        <w:tc>
          <w:tcPr>
            <w:tcW w:w="6654" w:type="dxa"/>
            <w:gridSpan w:val="3"/>
            <w:tcBorders>
              <w:top w:val="single" w:color="auto" w:sz="4" w:space="0"/>
              <w:left w:val="single" w:color="000000" w:sz="8" w:space="0"/>
              <w:bottom w:val="single" w:color="000000" w:sz="8"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原则上人民币100万元起，并以10万元的整数倍递增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8" w:hRule="atLeast"/>
        </w:trPr>
        <w:tc>
          <w:tcPr>
            <w:tcW w:w="1761" w:type="dxa"/>
            <w:tcBorders>
              <w:top w:val="nil"/>
              <w:left w:val="single" w:color="auto" w:sz="4"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业绩基准</w:t>
            </w:r>
          </w:p>
        </w:tc>
        <w:tc>
          <w:tcPr>
            <w:tcW w:w="6654" w:type="dxa"/>
            <w:gridSpan w:val="3"/>
            <w:tcBorders>
              <w:top w:val="nil"/>
              <w:left w:val="nil"/>
              <w:bottom w:val="nil"/>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i w:val="0"/>
                <w:color w:val="000000"/>
                <w:sz w:val="21"/>
                <w:szCs w:val="21"/>
                <w:u w:val="none"/>
              </w:rPr>
            </w:pPr>
            <w:r>
              <w:rPr>
                <w:rStyle w:val="13"/>
                <w:lang w:val="en-US" w:eastAsia="zh-CN" w:bidi="ar"/>
              </w:rPr>
              <w:t>4.2%；</w:t>
            </w:r>
            <w:r>
              <w:rPr>
                <w:rFonts w:hint="eastAsia" w:ascii="仿宋" w:hAnsi="仿宋" w:eastAsia="仿宋" w:cs="仿宋"/>
                <w:i w:val="0"/>
                <w:color w:val="000000"/>
                <w:kern w:val="0"/>
                <w:sz w:val="21"/>
                <w:szCs w:val="21"/>
                <w:u w:val="none"/>
                <w:lang w:val="en-US" w:eastAsia="zh-CN" w:bidi="ar"/>
              </w:rPr>
              <w:t>（根据发行前市场情况调整，以发行前要素为准）</w:t>
            </w:r>
            <w:r>
              <w:rPr>
                <w:rStyle w:val="13"/>
                <w:lang w:val="en-US" w:eastAsia="zh-CN" w:bidi="ar"/>
              </w:rPr>
              <w:t>业绩比较基准仅为对受益人可能取得的信托收益数额的预估，并非受托人对受益人可取得的信托收益所作的任何承诺与保证。本信托计划为净值型产品，不保本也不保收益。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761"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代销规模</w:t>
            </w:r>
          </w:p>
        </w:tc>
        <w:tc>
          <w:tcPr>
            <w:tcW w:w="6654" w:type="dxa"/>
            <w:gridSpan w:val="3"/>
            <w:tcBorders>
              <w:top w:val="single" w:color="auto" w:sz="4"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1" w:hRule="atLeast"/>
        </w:trPr>
        <w:tc>
          <w:tcPr>
            <w:tcW w:w="17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销售渠道</w:t>
            </w:r>
          </w:p>
        </w:tc>
        <w:tc>
          <w:tcPr>
            <w:tcW w:w="6654"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柜面，由总行统一集中销售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17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信托利益分配时间</w:t>
            </w:r>
          </w:p>
        </w:tc>
        <w:tc>
          <w:tcPr>
            <w:tcW w:w="6654"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信托利益在信托份额到期后进行分配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17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投资者费用</w:t>
            </w:r>
          </w:p>
        </w:tc>
        <w:tc>
          <w:tcPr>
            <w:tcW w:w="6654"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无认购、申购、赎回费用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1761"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信托管理费用</w:t>
            </w:r>
          </w:p>
        </w:tc>
        <w:tc>
          <w:tcPr>
            <w:tcW w:w="6654"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固定管理费：0.45%/年</w:t>
            </w:r>
          </w:p>
        </w:tc>
      </w:tr>
    </w:tbl>
    <w:p>
      <w:pPr>
        <w:pStyle w:val="2"/>
        <w:rPr>
          <w:rFonts w:hint="eastAsia"/>
          <w:lang w:val="en-US" w:eastAsia="zh-CN"/>
        </w:rPr>
      </w:pPr>
    </w:p>
    <w:p>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特别提示：</w:t>
      </w:r>
      <w:r>
        <w:rPr>
          <w:rFonts w:hint="eastAsia" w:ascii="宋体" w:hAnsi="宋体" w:eastAsia="宋体" w:cs="宋体"/>
          <w:sz w:val="24"/>
          <w:szCs w:val="24"/>
          <w:lang w:eastAsia="zh-CN"/>
        </w:rPr>
        <w:t>本产品由光大兴陇信托有限责任公司发行与管理，我行作为代销机构不承担产品的投资、兑付和风险管理责任。</w:t>
      </w:r>
      <w:r>
        <w:rPr>
          <w:rFonts w:hint="eastAsia" w:ascii="宋体" w:hAnsi="宋体" w:eastAsia="宋体" w:cs="宋体"/>
          <w:b/>
          <w:bCs/>
          <w:sz w:val="24"/>
          <w:szCs w:val="24"/>
          <w:lang w:eastAsia="zh-CN"/>
        </w:rPr>
        <w:t>信托非存款、产品有风险、投资须谨慎</w:t>
      </w:r>
      <w:r>
        <w:rPr>
          <w:rFonts w:hint="eastAsia" w:ascii="宋体" w:hAnsi="宋体" w:eastAsia="宋体" w:cs="宋体"/>
          <w:sz w:val="24"/>
          <w:szCs w:val="24"/>
          <w:lang w:eastAsia="zh-CN"/>
        </w:rPr>
        <w:t>。</w:t>
      </w:r>
    </w:p>
    <w:p>
      <w:pPr>
        <w:pStyle w:val="2"/>
        <w:rPr>
          <w:rFonts w:hint="eastAsia"/>
          <w:lang w:val="en-US" w:eastAsia="zh-CN"/>
        </w:rPr>
      </w:pPr>
    </w:p>
    <w:p>
      <w:pPr>
        <w:pStyle w:val="9"/>
        <w:rPr>
          <w:rFonts w:hint="eastAsia" w:ascii="宋体" w:hAnsi="宋体" w:eastAsia="宋体" w:cs="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74770"/>
    <w:rsid w:val="36374770"/>
    <w:rsid w:val="7B225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rPr>
      <w:rFonts w:hint="default" w:ascii="Times New Roman" w:hAnsi="Times New Roman" w:eastAsia="黑体" w:cs="宋体"/>
      <w:kern w:val="0"/>
      <w:sz w:val="22"/>
      <w:szCs w:val="24"/>
      <w:lang w:val="en-US" w:eastAsia="zh-CN"/>
    </w:rPr>
  </w:style>
  <w:style w:type="paragraph" w:styleId="3">
    <w:name w:val="heading 1"/>
    <w:basedOn w:val="1"/>
    <w:next w:val="1"/>
    <w:uiPriority w:val="0"/>
    <w:pPr>
      <w:spacing w:before="100" w:beforeAutospacing="1" w:after="100" w:afterAutospacing="1"/>
      <w:jc w:val="center"/>
      <w:outlineLvl w:val="0"/>
    </w:pPr>
    <w:rPr>
      <w:rFonts w:hint="default" w:ascii="黑体" w:hAnsi="黑体"/>
      <w:b/>
      <w:kern w:val="36"/>
      <w:sz w:val="28"/>
      <w:szCs w:val="28"/>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before="1"/>
      <w:ind w:left="120"/>
    </w:pPr>
    <w:rPr>
      <w:sz w:val="24"/>
    </w:rPr>
  </w:style>
  <w:style w:type="paragraph" w:customStyle="1" w:styleId="6">
    <w:name w:val="dqbgbt"/>
    <w:basedOn w:val="7"/>
    <w:uiPriority w:val="0"/>
    <w:rPr>
      <w:rFonts w:hint="default" w:ascii="Times New Roman" w:hAnsi="Times New Roman"/>
      <w:sz w:val="40"/>
    </w:rPr>
  </w:style>
  <w:style w:type="paragraph" w:customStyle="1" w:styleId="7">
    <w:name w:val="dqbgyjbt"/>
    <w:basedOn w:val="3"/>
    <w:uiPriority w:val="0"/>
  </w:style>
  <w:style w:type="paragraph" w:customStyle="1" w:styleId="8">
    <w:name w:val="Normal (Web)"/>
    <w:basedOn w:val="1"/>
    <w:qFormat/>
    <w:uiPriority w:val="0"/>
    <w:pPr>
      <w:spacing w:before="75" w:beforeAutospacing="0" w:after="75" w:afterAutospacing="0"/>
      <w:ind w:left="0" w:right="0"/>
      <w:jc w:val="left"/>
    </w:pPr>
    <w:rPr>
      <w:kern w:val="0"/>
      <w:sz w:val="24"/>
      <w:lang w:val="en-US" w:eastAsia="zh-CN"/>
    </w:rPr>
  </w:style>
  <w:style w:type="paragraph" w:customStyle="1" w:styleId="9">
    <w:name w:val="dqbgshwz"/>
    <w:basedOn w:val="10"/>
    <w:qFormat/>
    <w:uiPriority w:val="0"/>
    <w:pPr>
      <w:ind w:firstLine="0" w:firstLineChars="0"/>
    </w:pPr>
  </w:style>
  <w:style w:type="paragraph" w:customStyle="1" w:styleId="10">
    <w:name w:val="dqbgsmwz"/>
    <w:basedOn w:val="11"/>
    <w:qFormat/>
    <w:uiPriority w:val="0"/>
    <w:pPr>
      <w:spacing w:before="40" w:after="40" w:line="288" w:lineRule="auto"/>
      <w:ind w:firstLine="200" w:firstLineChars="200"/>
    </w:pPr>
  </w:style>
  <w:style w:type="paragraph" w:customStyle="1" w:styleId="11">
    <w:name w:val="No Spacing"/>
    <w:uiPriority w:val="0"/>
    <w:rPr>
      <w:rFonts w:hint="default" w:ascii="Times New Roman" w:hAnsi="Times New Roman" w:eastAsia="仿宋_GB2312" w:cs="宋体"/>
      <w:kern w:val="0"/>
      <w:sz w:val="24"/>
      <w:szCs w:val="24"/>
      <w:lang w:val="en-US" w:eastAsia="zh-CN"/>
    </w:rPr>
  </w:style>
  <w:style w:type="character" w:customStyle="1" w:styleId="12">
    <w:name w:val="font11"/>
    <w:basedOn w:val="5"/>
    <w:uiPriority w:val="0"/>
    <w:rPr>
      <w:rFonts w:hint="eastAsia" w:ascii="仿宋" w:hAnsi="仿宋" w:eastAsia="仿宋" w:cs="仿宋"/>
      <w:color w:val="000000"/>
      <w:sz w:val="21"/>
      <w:szCs w:val="21"/>
      <w:u w:val="none"/>
    </w:rPr>
  </w:style>
  <w:style w:type="character" w:customStyle="1" w:styleId="13">
    <w:name w:val="font21"/>
    <w:basedOn w:val="5"/>
    <w:uiPriority w:val="0"/>
    <w:rPr>
      <w:rFonts w:hint="eastAsia" w:ascii="仿宋" w:hAnsi="仿宋" w:eastAsia="仿宋" w:cs="仿宋"/>
      <w:b/>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2022-10-21T01:40:00Z</dcterms:created>
  <dc:creator>zrcbank</dc:creator>
  <cp:lastModifiedBy>zrcbank</cp:lastModifiedBy>
  <dcterms:modified xsi:type="dcterms:W3CDTF">2022-10-21T02:59:01Z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