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wordWrap/>
        <w:adjustRightInd/>
        <w:snapToGrid/>
        <w:spacing w:before="0" w:after="0" w:line="540" w:lineRule="exact"/>
        <w:jc w:val="center"/>
        <w:textAlignment w:val="auto"/>
        <w:rPr>
          <w:rFonts w:hint="eastAsia" w:ascii="宋体" w:hAnsi="宋体" w:eastAsia="宋体" w:cs="宋体"/>
          <w:b/>
          <w:kern w:val="36"/>
          <w:sz w:val="40"/>
          <w:szCs w:val="28"/>
          <w:lang w:val="en-US" w:eastAsia="zh-CN"/>
        </w:rPr>
      </w:pPr>
      <w:r>
        <w:rPr>
          <w:rFonts w:hint="eastAsia" w:ascii="宋体" w:hAnsi="宋体" w:eastAsia="宋体" w:cs="宋体"/>
          <w:b/>
          <w:kern w:val="36"/>
          <w:sz w:val="40"/>
          <w:szCs w:val="28"/>
          <w:lang w:val="en-US" w:eastAsia="zh-CN"/>
        </w:rPr>
        <w:t>光大信托-盛元纯债大家3号集合资金</w:t>
      </w:r>
    </w:p>
    <w:p>
      <w:pPr>
        <w:pStyle w:val="8"/>
        <w:widowControl/>
        <w:wordWrap/>
        <w:adjustRightInd/>
        <w:snapToGrid/>
        <w:spacing w:before="0" w:after="0" w:line="540" w:lineRule="exact"/>
        <w:jc w:val="center"/>
        <w:textAlignment w:val="auto"/>
        <w:rPr>
          <w:rFonts w:hint="eastAsia" w:ascii="宋体" w:hAnsi="宋体" w:eastAsia="宋体" w:cs="宋体"/>
        </w:rPr>
      </w:pPr>
      <w:r>
        <w:rPr>
          <w:rFonts w:hint="eastAsia" w:ascii="宋体" w:hAnsi="宋体" w:eastAsia="宋体" w:cs="宋体"/>
          <w:b/>
          <w:kern w:val="36"/>
          <w:sz w:val="40"/>
          <w:szCs w:val="28"/>
          <w:lang w:val="en-US" w:eastAsia="zh-CN"/>
        </w:rPr>
        <w:t>信托计划（第一期）募集公告</w:t>
      </w:r>
    </w:p>
    <w:p>
      <w:pPr>
        <w:rPr>
          <w:rFonts w:hint="eastAsia"/>
          <w:lang w:eastAsia="zh-CN"/>
        </w:rPr>
      </w:pP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信托产品要素</w:t>
      </w:r>
    </w:p>
    <w:tbl>
      <w:tblPr>
        <w:tblStyle w:val="4"/>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1"/>
        <w:gridCol w:w="2359"/>
        <w:gridCol w:w="2386"/>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7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产品名称及代码</w:t>
            </w:r>
          </w:p>
        </w:tc>
        <w:tc>
          <w:tcPr>
            <w:tcW w:w="6654" w:type="dxa"/>
            <w:gridSpan w:val="3"/>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Style w:val="12"/>
                <w:lang w:val="en-US" w:eastAsia="zh-CN" w:bidi="ar"/>
              </w:rPr>
              <w:t>产品名称：光大信托-盛元纯债大家</w:t>
            </w:r>
            <w:r>
              <w:rPr>
                <w:rStyle w:val="12"/>
                <w:rFonts w:hint="eastAsia"/>
                <w:lang w:val="en-US" w:eastAsia="zh-CN" w:bidi="ar"/>
              </w:rPr>
              <w:t>3</w:t>
            </w:r>
            <w:r>
              <w:rPr>
                <w:rStyle w:val="12"/>
                <w:lang w:val="en-US" w:eastAsia="zh-CN" w:bidi="ar"/>
              </w:rPr>
              <w:t>号集合资金信托计划</w:t>
            </w:r>
            <w:r>
              <w:rPr>
                <w:rStyle w:val="13"/>
                <w:lang w:val="en-US" w:eastAsia="zh-CN" w:bidi="ar"/>
              </w:rPr>
              <w:t>（第</w:t>
            </w:r>
            <w:r>
              <w:rPr>
                <w:rStyle w:val="13"/>
                <w:rFonts w:hint="eastAsia" w:eastAsia="仿宋"/>
                <w:lang w:val="en-US" w:eastAsia="zh-CN" w:bidi="ar"/>
              </w:rPr>
              <w:t>一</w:t>
            </w:r>
            <w:r>
              <w:rPr>
                <w:rStyle w:val="13"/>
                <w:lang w:val="en-US" w:eastAsia="zh-CN" w:bidi="ar"/>
              </w:rPr>
              <w:t>期）</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b/>
                <w:i w:val="0"/>
                <w:color w:val="000000"/>
                <w:sz w:val="21"/>
                <w:szCs w:val="21"/>
                <w:u w:val="none"/>
              </w:rPr>
            </w:pP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产品代码：</w:t>
            </w:r>
            <w:r>
              <w:rPr>
                <w:rFonts w:hint="eastAsia" w:ascii="仿宋" w:hAnsi="仿宋" w:eastAsia="仿宋" w:cs="仿宋"/>
                <w:highlight w:val="none"/>
                <w:lang w:val="en-US" w:eastAsia="zh-CN"/>
              </w:rPr>
              <w:t>ZXD31G202209010002986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产品类型</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纯债类、净值型、固定收益类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风险等级</w:t>
            </w:r>
          </w:p>
        </w:tc>
        <w:tc>
          <w:tcPr>
            <w:tcW w:w="23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Style w:val="12"/>
                <w:lang w:val="en-US" w:eastAsia="zh-CN" w:bidi="ar"/>
              </w:rPr>
              <w:t>“R3级”中风险</w:t>
            </w:r>
          </w:p>
        </w:tc>
        <w:tc>
          <w:tcPr>
            <w:tcW w:w="238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信托公司内部风险等级</w:t>
            </w:r>
          </w:p>
        </w:tc>
        <w:tc>
          <w:tcPr>
            <w:tcW w:w="19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“R2级”中低风险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受托管理人</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光大兴陇信托有限责任公司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托管行</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招商银行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募集对象</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合格投资者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募集时间</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2023年2月15日--2023年2月21日，视产品募集情况可提前结束或延期销售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0" w:hRule="atLeast"/>
        </w:trPr>
        <w:tc>
          <w:tcPr>
            <w:tcW w:w="176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kern w:val="0"/>
                <w:sz w:val="21"/>
                <w:szCs w:val="21"/>
                <w:u w:val="none"/>
                <w:lang w:val="en-US" w:eastAsia="zh-CN" w:bidi="ar"/>
              </w:rPr>
            </w:pPr>
            <w:r>
              <w:rPr>
                <w:rFonts w:hint="eastAsia" w:ascii="仿宋" w:hAnsi="仿宋" w:eastAsia="仿宋" w:cs="仿宋"/>
                <w:b/>
                <w:i w:val="0"/>
                <w:color w:val="000000"/>
                <w:kern w:val="0"/>
                <w:sz w:val="21"/>
                <w:szCs w:val="21"/>
                <w:u w:val="none"/>
                <w:lang w:val="en-US" w:eastAsia="zh-CN" w:bidi="ar"/>
              </w:rPr>
              <w:t>产品成立起息日</w:t>
            </w:r>
          </w:p>
        </w:tc>
        <w:tc>
          <w:tcPr>
            <w:tcW w:w="6654" w:type="dxa"/>
            <w:gridSpan w:val="3"/>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2023年2月23日（根据发行前市场情况调整，以发行前要素为准）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76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信托期限</w:t>
            </w:r>
          </w:p>
        </w:tc>
        <w:tc>
          <w:tcPr>
            <w:tcW w:w="6654" w:type="dxa"/>
            <w:gridSpan w:val="3"/>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本信托计划的期限为长期存续。本期信托单位期限为</w:t>
            </w:r>
            <w:r>
              <w:rPr>
                <w:rFonts w:hint="eastAsia" w:ascii="仿宋" w:hAnsi="仿宋" w:eastAsia="仿宋" w:cs="仿宋"/>
                <w:b/>
                <w:bCs/>
                <w:i w:val="0"/>
                <w:color w:val="000000"/>
                <w:kern w:val="0"/>
                <w:sz w:val="21"/>
                <w:szCs w:val="21"/>
                <w:u w:val="none"/>
                <w:lang w:val="en-US" w:eastAsia="zh-CN" w:bidi="ar"/>
              </w:rPr>
              <w:t>368</w:t>
            </w:r>
            <w:r>
              <w:rPr>
                <w:rFonts w:hint="eastAsia" w:ascii="仿宋" w:hAnsi="仿宋" w:eastAsia="仿宋" w:cs="仿宋"/>
                <w:i w:val="0"/>
                <w:color w:val="000000"/>
                <w:kern w:val="0"/>
                <w:sz w:val="21"/>
                <w:szCs w:val="21"/>
                <w:u w:val="none"/>
                <w:lang w:val="en-US" w:eastAsia="zh-CN" w:bidi="ar"/>
              </w:rPr>
              <w:t>天，自本期信托单位成立之日（含）开始计算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761" w:type="dxa"/>
            <w:vMerge w:val="restart"/>
            <w:tcBorders>
              <w:top w:val="single" w:color="auto" w:sz="4" w:space="0"/>
              <w:left w:val="single" w:color="auto"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投资范围</w:t>
            </w:r>
          </w:p>
        </w:tc>
        <w:tc>
          <w:tcPr>
            <w:tcW w:w="6654" w:type="dxa"/>
            <w:gridSpan w:val="3"/>
            <w:tcBorders>
              <w:top w:val="single" w:color="auto" w:sz="4" w:space="0"/>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（1）货币市场工具，包括但不限于现金、逆回购、银行存款、大额可转让存单、货</w:t>
            </w:r>
            <w:bookmarkStart w:id="1" w:name="_GoBack"/>
            <w:bookmarkEnd w:id="1"/>
            <w:r>
              <w:rPr>
                <w:rStyle w:val="12"/>
                <w:lang w:val="en-US" w:eastAsia="zh-CN" w:bidi="ar"/>
              </w:rPr>
              <w:t>币基金等。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420" w:firstLineChars="20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交易所和银行间市场上市交易的债券，包括但不限于国债、中央银行票据、政策性金融债、地方政府债、企业债券、公司债券（含私募公司债）、各类金融债、经银行间市场交易商协会批准注册发行的各类债务融资工具（包括但不限于短期融资券、超短期融资券、中期票据、非公开定向债务融资工具（PPN）等）、各类信用风险缓释工具、可交换债、可转债等；以及资产支持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pStyle w:val="14"/>
              <w:numPr>
                <w:ilvl w:val="0"/>
                <w:numId w:val="0"/>
              </w:numPr>
              <w:spacing w:line="240" w:lineRule="auto"/>
              <w:ind w:firstLine="420" w:firstLineChars="200"/>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zh-CN" w:eastAsia="zh-CN" w:bidi="ar"/>
              </w:rPr>
              <w:t>（</w:t>
            </w:r>
            <w:r>
              <w:rPr>
                <w:rFonts w:hint="eastAsia" w:ascii="仿宋" w:hAnsi="仿宋" w:eastAsia="仿宋" w:cs="仿宋"/>
                <w:i w:val="0"/>
                <w:color w:val="000000"/>
                <w:kern w:val="0"/>
                <w:sz w:val="21"/>
                <w:szCs w:val="21"/>
                <w:u w:val="none"/>
                <w:lang w:val="en-US" w:eastAsia="zh-CN" w:bidi="ar"/>
              </w:rPr>
              <w:t>3</w:t>
            </w:r>
            <w:r>
              <w:rPr>
                <w:rFonts w:hint="eastAsia" w:ascii="仿宋" w:hAnsi="仿宋" w:eastAsia="仿宋" w:cs="仿宋"/>
                <w:i w:val="0"/>
                <w:color w:val="000000"/>
                <w:kern w:val="0"/>
                <w:sz w:val="21"/>
                <w:szCs w:val="21"/>
                <w:u w:val="none"/>
                <w:lang w:val="zh-CN" w:eastAsia="zh-CN" w:bidi="ar"/>
              </w:rPr>
              <w:t>）</w:t>
            </w:r>
            <w:bookmarkStart w:id="0" w:name="_Hlk72154198"/>
            <w:r>
              <w:rPr>
                <w:rFonts w:hint="eastAsia" w:ascii="仿宋" w:hAnsi="仿宋" w:eastAsia="仿宋" w:cs="仿宋"/>
                <w:i w:val="0"/>
                <w:color w:val="000000"/>
                <w:kern w:val="0"/>
                <w:sz w:val="21"/>
                <w:szCs w:val="21"/>
                <w:u w:val="none"/>
                <w:lang w:val="zh-CN" w:eastAsia="zh-CN" w:bidi="ar"/>
              </w:rPr>
              <w:t>债券型公募证券投资基金</w:t>
            </w:r>
            <w:bookmarkEnd w:id="0"/>
            <w:r>
              <w:rPr>
                <w:rFonts w:hint="eastAsia" w:ascii="仿宋" w:hAnsi="仿宋" w:eastAsia="仿宋" w:cs="仿宋"/>
                <w:i w:val="0"/>
                <w:color w:val="000000"/>
                <w:kern w:val="0"/>
                <w:sz w:val="21"/>
                <w:szCs w:val="21"/>
                <w:u w:val="none"/>
                <w:lang w:val="zh-C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（4）固定收益类资产管理产品。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（5）委托人、受托人（兼管理人）双方一致确认的符合法律法规及监管政策要求的其他固收类投资品种。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line="240" w:lineRule="auto"/>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6）信托业保障基金。委托人知晓并接受，根据《信托业保障基金管理办法》及有权机关或机构的其他规定，委托受托人以信托财产初始本金金额的1%认购信托业保障基金，该等认购行为系本信托计划项下信托财产投资的一部分，所产生的投资收益归属信托财产。委托人委托受托人以信托资金认购信托业保障基金，不代表受托人或任何其他有权机关承诺或保证本信托计划赢利或本金不受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761" w:type="dxa"/>
            <w:vMerge w:val="continue"/>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22" w:firstLineChars="20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如法律法规或监管机构以后允许投资其他品种，受托人在履行适当并可依据届时有效的法程序后，可以将其纳入投资范围，律法规适时合理地调整投资范围。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761"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投资起点</w:t>
            </w:r>
          </w:p>
        </w:tc>
        <w:tc>
          <w:tcPr>
            <w:tcW w:w="6654" w:type="dxa"/>
            <w:gridSpan w:val="3"/>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原则上人民币100万元起，并以10万元的整数倍递增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8" w:hRule="atLeast"/>
        </w:trPr>
        <w:tc>
          <w:tcPr>
            <w:tcW w:w="176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业绩基准</w:t>
            </w: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Style w:val="13"/>
                <w:lang w:val="en-US" w:eastAsia="zh-CN" w:bidi="ar"/>
              </w:rPr>
              <w:t>4.</w:t>
            </w:r>
            <w:r>
              <w:rPr>
                <w:rStyle w:val="13"/>
                <w:rFonts w:hint="eastAsia"/>
                <w:lang w:val="en-US" w:eastAsia="zh-CN" w:bidi="ar"/>
              </w:rPr>
              <w:t>0</w:t>
            </w:r>
            <w:r>
              <w:rPr>
                <w:rStyle w:val="13"/>
                <w:lang w:val="en-US" w:eastAsia="zh-CN" w:bidi="ar"/>
              </w:rPr>
              <w:t>%；</w:t>
            </w:r>
            <w:r>
              <w:rPr>
                <w:rFonts w:hint="eastAsia" w:ascii="仿宋" w:hAnsi="仿宋" w:eastAsia="仿宋" w:cs="仿宋"/>
                <w:i w:val="0"/>
                <w:color w:val="000000"/>
                <w:kern w:val="0"/>
                <w:sz w:val="21"/>
                <w:szCs w:val="21"/>
                <w:u w:val="none"/>
                <w:lang w:val="en-US" w:eastAsia="zh-CN" w:bidi="ar"/>
              </w:rPr>
              <w:t>（根据发行前市场情况调整，以发行前要素为准）</w:t>
            </w:r>
            <w:r>
              <w:rPr>
                <w:rStyle w:val="13"/>
                <w:lang w:val="en-US" w:eastAsia="zh-CN" w:bidi="ar"/>
              </w:rPr>
              <w:t>业绩比较基准仅为对受益人可能取得的信托收益数额的预估，并非受托人对受益人可取得的信托收益所作的任何承诺与保证。本信托计划为净值型产品，不保本也不保收益。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6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代销规模</w:t>
            </w:r>
          </w:p>
        </w:tc>
        <w:tc>
          <w:tcPr>
            <w:tcW w:w="6654" w:type="dxa"/>
            <w:gridSpan w:val="3"/>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销售渠道</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柜面，由总行统一集中销售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信托利益分配时间</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信托利益在信托份额到期后进行分配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代理销售费用</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0.55%/年</w:t>
            </w:r>
          </w:p>
        </w:tc>
      </w:tr>
    </w:tbl>
    <w:p>
      <w:pPr>
        <w:pStyle w:val="2"/>
        <w:rPr>
          <w:rFonts w:hint="eastAsia"/>
          <w:lang w:val="en-US" w:eastAsia="zh-CN"/>
        </w:rPr>
      </w:pP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特别提示：</w:t>
      </w:r>
      <w:r>
        <w:rPr>
          <w:rFonts w:hint="eastAsia" w:ascii="宋体" w:hAnsi="宋体" w:eastAsia="宋体" w:cs="宋体"/>
          <w:sz w:val="24"/>
          <w:szCs w:val="24"/>
          <w:lang w:eastAsia="zh-CN"/>
        </w:rPr>
        <w:t>本产品由光大兴陇信托有限责任公司发行与管理，我行作为代销机构不承担产品的投资、兑付和风险管理责任。</w:t>
      </w:r>
      <w:r>
        <w:rPr>
          <w:rFonts w:hint="eastAsia" w:ascii="宋体" w:hAnsi="宋体" w:eastAsia="宋体" w:cs="宋体"/>
          <w:b/>
          <w:bCs/>
          <w:sz w:val="24"/>
          <w:szCs w:val="24"/>
          <w:lang w:eastAsia="zh-CN"/>
        </w:rPr>
        <w:t>信托非存款、产品有风险、投资须谨慎</w:t>
      </w:r>
      <w:r>
        <w:rPr>
          <w:rFonts w:hint="eastAsia" w:ascii="宋体" w:hAnsi="宋体" w:eastAsia="宋体" w:cs="宋体"/>
          <w:sz w:val="24"/>
          <w:szCs w:val="24"/>
          <w:lang w:eastAsia="zh-CN"/>
        </w:rPr>
        <w:t>。</w:t>
      </w:r>
    </w:p>
    <w:p>
      <w:pPr>
        <w:pStyle w:val="2"/>
        <w:rPr>
          <w:rFonts w:hint="eastAsia"/>
          <w:lang w:val="en-US" w:eastAsia="zh-CN"/>
        </w:rPr>
      </w:pPr>
    </w:p>
    <w:p>
      <w:pPr>
        <w:pStyle w:val="9"/>
        <w:rPr>
          <w:rFonts w:hint="eastAsia" w:ascii="宋体" w:hAnsi="宋体" w:eastAsia="宋体" w:cs="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74770"/>
    <w:rsid w:val="05544072"/>
    <w:rsid w:val="21450D97"/>
    <w:rsid w:val="223F13BA"/>
    <w:rsid w:val="36374770"/>
    <w:rsid w:val="7B22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hint="default" w:ascii="Times New Roman" w:hAnsi="Times New Roman" w:eastAsia="黑体" w:cs="宋体"/>
      <w:kern w:val="0"/>
      <w:sz w:val="22"/>
      <w:szCs w:val="24"/>
      <w:lang w:val="en-US" w:eastAsia="zh-CN"/>
    </w:rPr>
  </w:style>
  <w:style w:type="paragraph" w:styleId="3">
    <w:name w:val="heading 1"/>
    <w:basedOn w:val="1"/>
    <w:next w:val="1"/>
    <w:qFormat/>
    <w:uiPriority w:val="0"/>
    <w:pPr>
      <w:spacing w:before="100" w:beforeAutospacing="1" w:after="100" w:afterAutospacing="1"/>
      <w:jc w:val="center"/>
      <w:outlineLvl w:val="0"/>
    </w:pPr>
    <w:rPr>
      <w:rFonts w:hint="default" w:ascii="黑体" w:hAnsi="黑体"/>
      <w:b/>
      <w:kern w:val="36"/>
      <w:sz w:val="28"/>
      <w:szCs w:val="2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
      <w:ind w:left="120"/>
    </w:pPr>
    <w:rPr>
      <w:sz w:val="24"/>
    </w:rPr>
  </w:style>
  <w:style w:type="paragraph" w:customStyle="1" w:styleId="6">
    <w:name w:val="dqbgbt"/>
    <w:basedOn w:val="7"/>
    <w:qFormat/>
    <w:uiPriority w:val="0"/>
    <w:rPr>
      <w:rFonts w:hint="default" w:ascii="Times New Roman" w:hAnsi="Times New Roman"/>
      <w:sz w:val="40"/>
    </w:rPr>
  </w:style>
  <w:style w:type="paragraph" w:customStyle="1" w:styleId="7">
    <w:name w:val="dqbgyjbt"/>
    <w:basedOn w:val="3"/>
    <w:qFormat/>
    <w:uiPriority w:val="0"/>
  </w:style>
  <w:style w:type="paragraph" w:customStyle="1" w:styleId="8">
    <w:name w:val="Normal (Web)"/>
    <w:basedOn w:val="1"/>
    <w:qFormat/>
    <w:uiPriority w:val="0"/>
    <w:pPr>
      <w:spacing w:before="75" w:beforeAutospacing="0" w:after="75" w:afterAutospacing="0"/>
      <w:ind w:left="0" w:right="0"/>
      <w:jc w:val="left"/>
    </w:pPr>
    <w:rPr>
      <w:kern w:val="0"/>
      <w:sz w:val="24"/>
      <w:lang w:val="en-US" w:eastAsia="zh-CN"/>
    </w:rPr>
  </w:style>
  <w:style w:type="paragraph" w:customStyle="1" w:styleId="9">
    <w:name w:val="dqbgshwz"/>
    <w:basedOn w:val="10"/>
    <w:qFormat/>
    <w:uiPriority w:val="0"/>
    <w:pPr>
      <w:ind w:firstLine="0" w:firstLineChars="0"/>
    </w:pPr>
  </w:style>
  <w:style w:type="paragraph" w:customStyle="1" w:styleId="10">
    <w:name w:val="dqbgsmwz"/>
    <w:basedOn w:val="11"/>
    <w:qFormat/>
    <w:uiPriority w:val="0"/>
    <w:pPr>
      <w:spacing w:before="40" w:after="40" w:line="288" w:lineRule="auto"/>
      <w:ind w:firstLine="200" w:firstLineChars="200"/>
    </w:pPr>
  </w:style>
  <w:style w:type="paragraph" w:customStyle="1" w:styleId="11">
    <w:name w:val="No Spacing"/>
    <w:qFormat/>
    <w:uiPriority w:val="0"/>
    <w:rPr>
      <w:rFonts w:hint="default" w:ascii="Times New Roman" w:hAnsi="Times New Roman" w:eastAsia="仿宋_GB2312" w:cs="宋体"/>
      <w:kern w:val="0"/>
      <w:sz w:val="24"/>
      <w:szCs w:val="24"/>
      <w:lang w:val="en-US" w:eastAsia="zh-CN"/>
    </w:rPr>
  </w:style>
  <w:style w:type="character" w:customStyle="1" w:styleId="12">
    <w:name w:val="font11"/>
    <w:basedOn w:val="5"/>
    <w:qFormat/>
    <w:uiPriority w:val="0"/>
    <w:rPr>
      <w:rFonts w:hint="eastAsia" w:ascii="仿宋" w:hAnsi="仿宋" w:eastAsia="仿宋" w:cs="仿宋"/>
      <w:color w:val="000000"/>
      <w:sz w:val="21"/>
      <w:szCs w:val="21"/>
      <w:u w:val="none"/>
    </w:rPr>
  </w:style>
  <w:style w:type="character" w:customStyle="1" w:styleId="13">
    <w:name w:val="font21"/>
    <w:basedOn w:val="5"/>
    <w:qFormat/>
    <w:uiPriority w:val="0"/>
    <w:rPr>
      <w:rFonts w:hint="eastAsia" w:ascii="仿宋" w:hAnsi="仿宋" w:eastAsia="仿宋" w:cs="仿宋"/>
      <w:b/>
      <w:color w:val="000000"/>
      <w:sz w:val="21"/>
      <w:szCs w:val="21"/>
      <w:u w:val="none"/>
    </w:rPr>
  </w:style>
  <w:style w:type="paragraph" w:customStyle="1" w:styleId="14">
    <w:name w:val="0"/>
    <w:basedOn w:val="1"/>
    <w:qFormat/>
    <w:uiPriority w:val="0"/>
    <w:pPr>
      <w:widowControl/>
      <w:snapToGrid w:val="0"/>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2022-10-21T01:40:00Z</dcterms:created>
  <dc:creator>zrcbank</dc:creator>
  <cp:lastModifiedBy>zrcbank</cp:lastModifiedBy>
  <dcterms:modified xsi:type="dcterms:W3CDTF">2023-02-10T02:54:53Z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