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 w:eastAsia="宋体"/>
          <w:sz w:val="28"/>
          <w:szCs w:val="32"/>
        </w:rPr>
      </w:pPr>
      <w:bookmarkStart w:id="0" w:name="_GoBack"/>
      <w:r>
        <w:rPr>
          <w:rFonts w:hint="eastAsia" w:ascii="宋体" w:hAnsi="宋体" w:eastAsia="宋体"/>
          <w:sz w:val="28"/>
          <w:szCs w:val="32"/>
        </w:rPr>
        <w:t>华鑫信托-鑫沪503号集合资金信托计划</w:t>
      </w:r>
      <w:r>
        <w:rPr>
          <w:rFonts w:hint="eastAsia" w:ascii="宋体" w:hAnsi="宋体" w:eastAsia="宋体"/>
          <w:sz w:val="28"/>
          <w:szCs w:val="32"/>
          <w:lang w:eastAsia="zh-CN"/>
        </w:rPr>
        <w:t>募集公告</w:t>
      </w:r>
      <w:bookmarkEnd w:id="0"/>
    </w:p>
    <w:p>
      <w:pPr>
        <w:spacing w:line="360" w:lineRule="auto"/>
        <w:rPr>
          <w:rFonts w:ascii="宋体" w:hAnsi="宋体" w:eastAsia="宋体"/>
        </w:rPr>
      </w:pP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607"/>
        <w:gridCol w:w="2835"/>
        <w:gridCol w:w="1780"/>
      </w:tblGrid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产品名称及代码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产品名称：华鑫信托·鑫沪503</w:t>
            </w:r>
            <w:r>
              <w:rPr>
                <w:rFonts w:ascii="宋体" w:hAnsi="宋体" w:eastAsia="宋体"/>
                <w:sz w:val="24"/>
                <w:szCs w:val="24"/>
              </w:rPr>
              <w:t>号集合资金信托计划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产品代码：ZXD39H202301010072356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产品类型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</w:rPr>
              <w:t>固定收益类集合资金信托计划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风险等级</w:t>
            </w:r>
          </w:p>
        </w:tc>
        <w:tc>
          <w:tcPr>
            <w:tcW w:w="160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信托公司内部风险等级</w:t>
            </w: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受托管理人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华鑫国际信托有限公司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存续期限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年期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投资范围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向扬州江淮建设发展有限公司发放信托贷款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投资起点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人民币1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万元起，并以1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万元的整数倍递增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业绩基准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代销规模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0000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退出方式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到期退出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投资者费用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无认购、申购、到期赎回费用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推荐部门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投资银行部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销售渠道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柜面，总行统一组织销售</w:t>
            </w: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 w:eastAsia="宋体"/>
        </w:rPr>
      </w:pP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提示：本产品由华鑫国际信托有限公司发行与管理，张家港农商行作为代销机构不承担产品的投资、兑付和风险管理责任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pPr>
      <w:ind w:firstLine="420" w:firstLineChars="200"/>
    </w:pPr>
  </w:style>
  <w:style w:type="character" w:customStyle="1" w:styleId="6">
    <w:name w:val="页眉 字符"/>
    <w:basedOn w:val="4"/>
    <w:link w:val="3"/>
    <w:semiHidden/>
    <w:rPr>
      <w:sz w:val="18"/>
      <w:szCs w:val="18"/>
    </w:rPr>
  </w:style>
  <w:style w:type="character" w:customStyle="1" w:styleId="7">
    <w:name w:val="页脚 字符"/>
    <w:basedOn w:val="4"/>
    <w:link w:val="2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2023-03-14T08:02:00Z</dcterms:created>
  <dc:creator>岳 Young Yue</dc:creator>
  <dcterms:modified xsi:type="dcterms:W3CDTF">2023-03-20T18:23:58Z</dcterms:modified>
  <dc:title>zrcbank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4A704CBE99904EA787F611934C8817E9</vt:lpwstr>
  </property>
</Properties>
</file>