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357"/>
        <w:gridCol w:w="1643"/>
        <w:gridCol w:w="400"/>
        <w:gridCol w:w="400"/>
        <w:gridCol w:w="400"/>
        <w:gridCol w:w="20"/>
        <w:gridCol w:w="980"/>
        <w:gridCol w:w="1600"/>
        <w:gridCol w:w="400"/>
        <w:gridCol w:w="400"/>
        <w:gridCol w:w="220"/>
        <w:gridCol w:w="1380"/>
        <w:gridCol w:w="1700"/>
        <w:gridCol w:w="20"/>
        <w:gridCol w:w="78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5"/>
          </w:tcPr>
          <w:p>
            <w:pPr>
              <w:pStyle w:val="4"/>
            </w:pPr>
          </w:p>
        </w:tc>
        <w:tc>
          <w:tcPr>
            <w:tcW w:w="3300" w:type="dxa"/>
            <w:gridSpan w:val="3"/>
          </w:tcPr>
          <w:p>
            <w:pPr>
              <w:pStyle w:val="4"/>
            </w:pPr>
          </w:p>
        </w:tc>
        <w:tc>
          <w:tcPr>
            <w:tcW w:w="800" w:type="dxa"/>
            <w:gridSpan w:val="2"/>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tcPr>
            <w:tcW w:w="800" w:type="dxa"/>
            <w:gridSpan w:val="2"/>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5"/>
          </w:tcPr>
          <w:p>
            <w:pPr>
              <w:pStyle w:val="4"/>
            </w:pPr>
          </w:p>
        </w:tc>
        <w:tc>
          <w:tcPr>
            <w:tcW w:w="3300" w:type="dxa"/>
            <w:gridSpan w:val="3"/>
          </w:tcPr>
          <w:p>
            <w:pPr>
              <w:pStyle w:val="4"/>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r>
              <w:rPr>
                <w:rFonts w:ascii="原版宋体" w:hAnsi="原版宋体" w:eastAsia="原版宋体" w:cs="原版宋体"/>
                <w:color w:val="000000"/>
                <w:sz w:val="20"/>
              </w:rPr>
              <w:t>发布时间：2022年</w:t>
            </w:r>
            <w:r>
              <w:rPr>
                <w:rFonts w:hint="eastAsia" w:ascii="原版宋体" w:hAnsi="原版宋体" w:eastAsia="原版宋体" w:cs="原版宋体"/>
                <w:color w:val="000000"/>
                <w:sz w:val="20"/>
                <w:lang w:val="en-US" w:eastAsia="zh-CN"/>
              </w:rPr>
              <w:t>12</w:t>
            </w:r>
            <w:r>
              <w:rPr>
                <w:rFonts w:ascii="原版宋体" w:hAnsi="原版宋体" w:eastAsia="原版宋体" w:cs="原版宋体"/>
                <w:color w:val="000000"/>
                <w:sz w:val="20"/>
              </w:rPr>
              <w:t>月3</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日</w:t>
            </w:r>
          </w:p>
        </w:tc>
        <w:tc>
          <w:tcPr>
            <w:tcW w:w="800" w:type="dxa"/>
            <w:gridSpan w:val="2"/>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5"/>
          </w:tcPr>
          <w:p>
            <w:pPr>
              <w:pStyle w:val="4"/>
            </w:pPr>
          </w:p>
        </w:tc>
        <w:tc>
          <w:tcPr>
            <w:tcW w:w="3300" w:type="dxa"/>
            <w:gridSpan w:val="3"/>
          </w:tcPr>
          <w:p>
            <w:pPr>
              <w:pStyle w:val="4"/>
            </w:pPr>
          </w:p>
        </w:tc>
        <w:tc>
          <w:tcPr>
            <w:tcW w:w="800" w:type="dxa"/>
            <w:gridSpan w:val="2"/>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4"/>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本报告期自2022年01月01日起至</w:t>
            </w:r>
            <w:r>
              <w:rPr>
                <w:rFonts w:hint="eastAsia" w:ascii="原版宋体" w:hAnsi="原版宋体" w:eastAsia="原版宋体" w:cs="原版宋体"/>
                <w:color w:val="000000"/>
                <w:sz w:val="20"/>
                <w:lang w:val="en-US" w:eastAsia="zh-CN"/>
              </w:rPr>
              <w:t>12</w:t>
            </w:r>
            <w:r>
              <w:rPr>
                <w:rFonts w:ascii="原版宋体" w:hAnsi="原版宋体" w:eastAsia="原版宋体" w:cs="原版宋体"/>
                <w:color w:val="000000"/>
                <w:sz w:val="20"/>
              </w:rPr>
              <w:t>月3</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日止。</w:t>
            </w:r>
          </w:p>
        </w:tc>
        <w:tc>
          <w:tcPr>
            <w:tcW w:w="800" w:type="dxa"/>
            <w:gridSpan w:val="2"/>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5"/>
          </w:tcPr>
          <w:p>
            <w:pPr>
              <w:pStyle w:val="4"/>
            </w:pPr>
          </w:p>
        </w:tc>
        <w:tc>
          <w:tcPr>
            <w:tcW w:w="3300" w:type="dxa"/>
            <w:gridSpan w:val="3"/>
          </w:tcPr>
          <w:p>
            <w:pPr>
              <w:pStyle w:val="4"/>
            </w:pPr>
          </w:p>
        </w:tc>
        <w:tc>
          <w:tcPr>
            <w:tcW w:w="800" w:type="dxa"/>
            <w:gridSpan w:val="2"/>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原版宋体"/>
                <w:lang w:val="en-US" w:eastAsia="zh-CN"/>
              </w:rPr>
            </w:pPr>
            <w:r>
              <w:rPr>
                <w:rFonts w:ascii="原版宋体" w:hAnsi="原版宋体" w:eastAsia="原版宋体" w:cs="原版宋体"/>
                <w:color w:val="000000"/>
                <w:sz w:val="20"/>
              </w:rPr>
              <w:t>金港湾天天享</w:t>
            </w:r>
            <w:r>
              <w:rPr>
                <w:rFonts w:hint="eastAsia" w:ascii="原版宋体" w:hAnsi="原版宋体" w:eastAsia="原版宋体" w:cs="原版宋体"/>
                <w:color w:val="000000"/>
                <w:sz w:val="20"/>
                <w:lang w:val="en-US" w:eastAsia="zh-CN"/>
              </w:rPr>
              <w:t>净值型人民币理财产品</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4,397,545,000.00</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1.0000</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原版宋体"/>
                <w:lang w:val="en-US" w:eastAsia="zh-CN"/>
              </w:rPr>
            </w:pPr>
            <w:r>
              <w:rPr>
                <w:rFonts w:ascii="原版宋体" w:hAnsi="原版宋体" w:eastAsia="原版宋体" w:cs="原版宋体"/>
                <w:color w:val="000000"/>
                <w:sz w:val="20"/>
              </w:rPr>
              <w:t>1.0</w:t>
            </w:r>
            <w:r>
              <w:rPr>
                <w:rFonts w:hint="eastAsia" w:ascii="原版宋体" w:hAnsi="原版宋体" w:eastAsia="原版宋体" w:cs="原版宋体"/>
                <w:color w:val="000000"/>
                <w:sz w:val="20"/>
                <w:lang w:val="en-US" w:eastAsia="zh-CN"/>
              </w:rPr>
              <w:t>00</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r>
              <w:rPr>
                <w:rFonts w:hint="eastAsia" w:ascii="原版宋体" w:hAnsi="原版宋体" w:eastAsia="原版宋体" w:cs="原版宋体"/>
                <w:color w:val="000000"/>
                <w:sz w:val="20"/>
                <w:lang w:val="en-US" w:eastAsia="zh-CN"/>
              </w:rPr>
              <w:t>4547</w:t>
            </w:r>
            <w:r>
              <w:rPr>
                <w:rFonts w:ascii="原版宋体" w:hAnsi="原版宋体" w:eastAsia="原版宋体" w:cs="原版宋体"/>
                <w:color w:val="000000"/>
                <w:sz w:val="20"/>
              </w:rPr>
              <w:t>%</w:t>
            </w:r>
          </w:p>
        </w:tc>
        <w:tc>
          <w:tcPr>
            <w:tcW w:w="800" w:type="dxa"/>
            <w:gridSpan w:val="2"/>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5"/>
          </w:tcPr>
          <w:p>
            <w:pPr>
              <w:pStyle w:val="4"/>
            </w:pPr>
          </w:p>
        </w:tc>
        <w:tc>
          <w:tcPr>
            <w:tcW w:w="3300" w:type="dxa"/>
            <w:gridSpan w:val="3"/>
          </w:tcPr>
          <w:p>
            <w:pPr>
              <w:pStyle w:val="4"/>
            </w:pPr>
          </w:p>
        </w:tc>
        <w:tc>
          <w:tcPr>
            <w:tcW w:w="800" w:type="dxa"/>
            <w:gridSpan w:val="2"/>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tcW w:w="800" w:type="dxa"/>
            <w:gridSpan w:val="2"/>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报告期末资产组合情况</w:t>
            </w:r>
          </w:p>
        </w:tc>
        <w:tc>
          <w:tcPr>
            <w:tcW w:w="800" w:type="dxa"/>
            <w:gridSpan w:val="2"/>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5,177,430,781.65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99.37%</w:t>
            </w:r>
          </w:p>
        </w:tc>
        <w:tc>
          <w:tcPr>
            <w:tcW w:w="800" w:type="dxa"/>
            <w:gridSpan w:val="2"/>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5,177,430,781.65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99.37%</w:t>
            </w:r>
          </w:p>
        </w:tc>
        <w:tc>
          <w:tcPr>
            <w:tcW w:w="800" w:type="dxa"/>
            <w:gridSpan w:val="2"/>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864,599,880.08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16.59%</w:t>
            </w:r>
          </w:p>
        </w:tc>
        <w:tc>
          <w:tcPr>
            <w:tcW w:w="800" w:type="dxa"/>
            <w:gridSpan w:val="2"/>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vAlign w:val="top"/>
          </w:tcPr>
          <w:p>
            <w:pPr>
              <w:pStyle w:val="4"/>
            </w:pPr>
          </w:p>
        </w:tc>
        <w:tc>
          <w:tcPr>
            <w:tcW w:w="2000" w:type="dxa"/>
            <w:gridSpan w:val="2"/>
            <w:vAlign w:val="top"/>
          </w:tcPr>
          <w:p>
            <w:pPr>
              <w:pStyle w:val="4"/>
            </w:pPr>
          </w:p>
        </w:tc>
        <w:tc>
          <w:tcPr>
            <w:tcW w:w="1200" w:type="dxa"/>
            <w:gridSpan w:val="3"/>
            <w:vAlign w:val="top"/>
          </w:tcPr>
          <w:p>
            <w:pPr>
              <w:pStyle w:val="4"/>
            </w:pPr>
          </w:p>
        </w:tc>
        <w:tc>
          <w:tcPr>
            <w:tcW w:w="20" w:type="dxa"/>
            <w:vAlign w:val="top"/>
          </w:tcPr>
          <w:p>
            <w:pPr>
              <w:pStyle w:val="4"/>
            </w:pPr>
          </w:p>
        </w:tc>
        <w:tc>
          <w:tcPr>
            <w:tcW w:w="980" w:type="dxa"/>
            <w:vAlign w:val="top"/>
          </w:tcPr>
          <w:p>
            <w:pPr>
              <w:pStyle w:val="4"/>
            </w:pPr>
          </w:p>
        </w:tc>
        <w:tc>
          <w:tcPr>
            <w:tcW w:w="2000" w:type="dxa"/>
            <w:gridSpan w:val="2"/>
            <w:vAlign w:val="top"/>
          </w:tcPr>
          <w:p>
            <w:pPr>
              <w:pStyle w:val="4"/>
            </w:pPr>
          </w:p>
        </w:tc>
        <w:tc>
          <w:tcPr>
            <w:tcW w:w="400" w:type="dxa"/>
            <w:vAlign w:val="top"/>
          </w:tcPr>
          <w:p>
            <w:pPr>
              <w:pStyle w:val="4"/>
            </w:pPr>
          </w:p>
        </w:tc>
        <w:tc>
          <w:tcPr>
            <w:tcW w:w="220" w:type="dxa"/>
            <w:vAlign w:val="top"/>
          </w:tcPr>
          <w:p>
            <w:pPr>
              <w:pStyle w:val="4"/>
            </w:pPr>
          </w:p>
        </w:tc>
        <w:tc>
          <w:tcPr>
            <w:tcW w:w="1380" w:type="dxa"/>
            <w:vAlign w:val="top"/>
          </w:tcPr>
          <w:p>
            <w:pPr>
              <w:pStyle w:val="4"/>
            </w:pPr>
          </w:p>
        </w:tc>
        <w:tc>
          <w:tcPr>
            <w:tcW w:w="1700" w:type="dxa"/>
            <w:vAlign w:val="top"/>
          </w:tcPr>
          <w:p>
            <w:pPr>
              <w:pStyle w:val="4"/>
            </w:pP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32,773,805.72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0.63%</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5,210,204,587.37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100.00%</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3,500,700,500.30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67.19%</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493,046,821.05</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9.46%</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608,568,871.79</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11.68%</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203,561,529.48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3.91%</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0.00%</w:t>
            </w: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4,312,830,901.57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82.78%</w:t>
            </w:r>
          </w:p>
        </w:tc>
        <w:tc>
          <w:tcPr>
            <w:tcW w:w="780" w:type="dxa"/>
          </w:tcPr>
          <w:p>
            <w:pPr>
              <w:pStyle w:val="4"/>
            </w:pPr>
          </w:p>
        </w:tc>
      </w:tr>
      <w:tr>
        <w:tblPrEx>
          <w:tblLayout w:type="fixed"/>
          <w:tblCellMar>
            <w:top w:w="0" w:type="dxa"/>
            <w:left w:w="10" w:type="dxa"/>
            <w:bottom w:w="0" w:type="dxa"/>
            <w:right w:w="10" w:type="dxa"/>
          </w:tblCellMar>
        </w:tblPrEx>
        <w:trPr>
          <w:trHeight w:val="118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w:t>
            </w:r>
            <w:r>
              <w:rPr>
                <w:rFonts w:hint="eastAsia" w:ascii="原版宋体" w:hAnsi="原版宋体" w:eastAsia="原版宋体" w:cs="原版宋体"/>
                <w:color w:val="000000"/>
                <w:sz w:val="20"/>
                <w:lang w:val="en-US" w:eastAsia="zh-CN"/>
              </w:rPr>
              <w:t>产品</w:t>
            </w:r>
            <w:r>
              <w:rPr>
                <w:rFonts w:ascii="原版宋体" w:hAnsi="原版宋体" w:eastAsia="原版宋体" w:cs="原版宋体"/>
                <w:color w:val="000000"/>
                <w:sz w:val="20"/>
              </w:rPr>
              <w:t>资产净值比例大小排名前十的资产投资明细</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val="en-US" w:eastAsia="zh-CN"/>
              </w:rPr>
              <w:t>产品</w:t>
            </w:r>
            <w:r>
              <w:rPr>
                <w:rFonts w:ascii="原版宋体" w:hAnsi="原版宋体" w:eastAsia="原版宋体" w:cs="原版宋体"/>
                <w:b/>
                <w:color w:val="000000"/>
                <w:sz w:val="20"/>
              </w:rPr>
              <w:t>资产净值比例（％）</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972,000,000.00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864,599,880.08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19.66%</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210312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21进出12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205,306,057.02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4.67%</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112211013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22平安银行CD013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199,748,656.72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4.54%</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112206042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22交通银行CD042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199,509,962.40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4.54%</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153,035,570.74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3.48%</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180204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18国开04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104,236,436.38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2.37%</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042280018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22湘高速CP001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102,480,005.25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2.33%</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102101212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21电网MTN006(可持续挂钩)</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101,750,003.32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2.31%</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042280239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22电网CP005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101,081,524.23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2.30%</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112216201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22上海银行CD201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rightChars="0"/>
              <w:jc w:val="right"/>
            </w:pPr>
            <w:r>
              <w:rPr>
                <w:rFonts w:ascii="原版宋体" w:hAnsi="原版宋体" w:eastAsia="原版宋体" w:cs="原版宋体"/>
                <w:color w:val="000000"/>
                <w:sz w:val="20"/>
              </w:rPr>
              <w:t>99,926,286.10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rPr>
              <w:t>2.27%</w:t>
            </w:r>
          </w:p>
        </w:tc>
        <w:tc>
          <w:tcPr>
            <w:tcW w:w="20" w:type="dxa"/>
          </w:tcPr>
          <w:p>
            <w:pPr>
              <w:pStyle w:val="4"/>
            </w:pPr>
          </w:p>
        </w:tc>
        <w:tc>
          <w:tcPr>
            <w:tcW w:w="78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3200" w:type="dxa"/>
            <w:gridSpan w:val="4"/>
          </w:tcPr>
          <w:p>
            <w:pPr>
              <w:pStyle w:val="4"/>
            </w:pPr>
          </w:p>
        </w:tc>
        <w:tc>
          <w:tcPr>
            <w:tcW w:w="3400" w:type="dxa"/>
            <w:gridSpan w:val="5"/>
          </w:tcPr>
          <w:p>
            <w:pPr>
              <w:pStyle w:val="4"/>
            </w:pPr>
          </w:p>
        </w:tc>
        <w:tc>
          <w:tcPr>
            <w:tcW w:w="4100" w:type="dxa"/>
            <w:gridSpan w:val="5"/>
          </w:tcPr>
          <w:p>
            <w:pPr>
              <w:pStyle w:val="4"/>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val="en-US" w:eastAsia="zh-CN"/>
              </w:rPr>
              <w:t>产品</w:t>
            </w:r>
            <w:r>
              <w:rPr>
                <w:rFonts w:ascii="原版宋体" w:hAnsi="原版宋体" w:eastAsia="原版宋体" w:cs="原版宋体"/>
                <w:b/>
                <w:color w:val="000000"/>
                <w:sz w:val="20"/>
              </w:rPr>
              <w:t>资产净值（元）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525,820,626.77</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4,397,545,000.00</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11.96%</w:t>
            </w:r>
          </w:p>
        </w:tc>
        <w:tc>
          <w:tcPr>
            <w:tcW w:w="800" w:type="dxa"/>
            <w:gridSpan w:val="2"/>
          </w:tcPr>
          <w:p>
            <w:pPr>
              <w:pStyle w:val="4"/>
            </w:pPr>
          </w:p>
        </w:tc>
      </w:tr>
      <w:tr>
        <w:tblPrEx>
          <w:tblLayout w:type="fixed"/>
          <w:tblCellMar>
            <w:top w:w="0" w:type="dxa"/>
            <w:left w:w="10" w:type="dxa"/>
            <w:bottom w:w="0" w:type="dxa"/>
            <w:right w:w="10" w:type="dxa"/>
          </w:tblCellMar>
        </w:tblPrEx>
        <w:trPr>
          <w:trHeight w:val="667" w:hRule="exact"/>
        </w:trPr>
        <w:tc>
          <w:tcPr>
            <w:tcW w:w="1" w:type="dxa"/>
          </w:tcPr>
          <w:p>
            <w:pPr>
              <w:pStyle w:val="4"/>
            </w:pPr>
          </w:p>
        </w:tc>
        <w:tc>
          <w:tcPr>
            <w:tcW w:w="10700" w:type="dxa"/>
            <w:gridSpan w:val="14"/>
            <w:tcMar>
              <w:top w:w="0" w:type="dxa"/>
              <w:left w:w="0" w:type="dxa"/>
              <w:bottom w:w="0" w:type="dxa"/>
              <w:right w:w="0" w:type="dxa"/>
            </w:tcMar>
            <w:vAlign w:val="top"/>
          </w:tcPr>
          <w:p>
            <w:pPr>
              <w:spacing w:before="0" w:after="0" w:line="360" w:lineRule="auto"/>
              <w:jc w:val="right"/>
            </w:pPr>
          </w:p>
        </w:tc>
        <w:tc>
          <w:tcPr>
            <w:tcW w:w="800" w:type="dxa"/>
            <w:gridSpan w:val="2"/>
          </w:tcPr>
          <w:p>
            <w:pPr>
              <w:pStyle w:val="4"/>
            </w:pPr>
          </w:p>
        </w:tc>
      </w:tr>
      <w:tr>
        <w:tblPrEx>
          <w:tblLayout w:type="fixed"/>
          <w:tblCellMar>
            <w:top w:w="0" w:type="dxa"/>
            <w:left w:w="10" w:type="dxa"/>
            <w:bottom w:w="0" w:type="dxa"/>
            <w:right w:w="10" w:type="dxa"/>
          </w:tblCellMar>
        </w:tblPrEx>
        <w:trPr>
          <w:trHeight w:val="129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ind w:firstLine="400" w:firstLineChars="200"/>
              <w:rPr>
                <w:rFonts w:hint="eastAsia" w:ascii="原版宋体" w:hAnsi="原版宋体" w:eastAsia="原版宋体" w:cs="原版宋体"/>
                <w:b/>
                <w:color w:val="000000"/>
                <w:sz w:val="20"/>
                <w:lang w:val="en-US" w:eastAsia="zh-CN"/>
              </w:rPr>
            </w:pPr>
            <w:r>
              <w:rPr>
                <w:rFonts w:ascii="原版宋体" w:hAnsi="原版宋体" w:eastAsia="原版宋体" w:cs="原版宋体"/>
                <w:color w:val="000000"/>
                <w:sz w:val="20"/>
              </w:rPr>
              <w:t>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gridSpan w:val="2"/>
          </w:tcPr>
          <w:p>
            <w:pPr>
              <w:pStyle w:val="4"/>
            </w:pPr>
          </w:p>
        </w:tc>
      </w:tr>
      <w:tr>
        <w:tblPrEx>
          <w:tblLayout w:type="fixed"/>
          <w:tblCellMar>
            <w:top w:w="0" w:type="dxa"/>
            <w:left w:w="10" w:type="dxa"/>
            <w:bottom w:w="0" w:type="dxa"/>
            <w:right w:w="10" w:type="dxa"/>
          </w:tblCellMar>
        </w:tblPrEx>
        <w:trPr>
          <w:trHeight w:val="689"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rPr>
                <w:rFonts w:hint="eastAsia" w:ascii="原版宋体" w:hAnsi="原版宋体" w:eastAsia="原版宋体" w:cs="原版宋体"/>
                <w:b/>
                <w:color w:val="000000"/>
                <w:sz w:val="20"/>
                <w:lang w:val="en-US" w:eastAsia="zh-CN"/>
              </w:rPr>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rPr>
                <w:rFonts w:hint="default" w:eastAsia="原版宋体" w:asciiTheme="minorHAnsi" w:hAnsiTheme="minorHAnsi" w:cstheme="minorBidi"/>
                <w:sz w:val="21"/>
                <w:szCs w:val="22"/>
                <w:lang w:val="en-US" w:eastAsia="zh-CN"/>
              </w:rPr>
            </w:pPr>
            <w:r>
              <w:rPr>
                <w:rFonts w:hint="eastAsia" w:ascii="原版宋体" w:hAnsi="原版宋体" w:eastAsia="原版宋体" w:cs="原版宋体"/>
                <w:b/>
                <w:color w:val="000000"/>
                <w:sz w:val="20"/>
                <w:lang w:val="en-US" w:eastAsia="zh-CN"/>
              </w:rPr>
              <w:t>4</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val="en-US" w:eastAsia="zh-CN"/>
              </w:rPr>
              <w:t>理财份额投资人信息</w:t>
            </w:r>
          </w:p>
        </w:tc>
        <w:tc>
          <w:tcPr>
            <w:tcW w:w="800" w:type="dxa"/>
            <w:gridSpan w:val="2"/>
          </w:tcPr>
          <w:p>
            <w:pPr>
              <w:pStyle w:val="4"/>
            </w:pPr>
          </w:p>
        </w:tc>
      </w:tr>
      <w:tr>
        <w:tblPrEx>
          <w:tblLayout w:type="fixed"/>
          <w:tblCellMar>
            <w:top w:w="0" w:type="dxa"/>
            <w:left w:w="10" w:type="dxa"/>
            <w:bottom w:w="0" w:type="dxa"/>
            <w:right w:w="10" w:type="dxa"/>
          </w:tblCellMar>
        </w:tblPrEx>
        <w:trPr>
          <w:trHeight w:val="442" w:hRule="exact"/>
        </w:trPr>
        <w:tc>
          <w:tcPr>
            <w:tcW w:w="1" w:type="dxa"/>
          </w:tcPr>
          <w:p>
            <w:pPr>
              <w:pStyle w:val="4"/>
            </w:pPr>
          </w:p>
        </w:tc>
        <w:tc>
          <w:tcPr>
            <w:tcW w:w="10700" w:type="dxa"/>
            <w:gridSpan w:val="14"/>
            <w:tcBorders>
              <w:bottom w:val="single" w:color="auto" w:sz="4" w:space="0"/>
            </w:tcBorders>
            <w:tcMar>
              <w:top w:w="0" w:type="dxa"/>
              <w:left w:w="0" w:type="dxa"/>
              <w:bottom w:w="0" w:type="dxa"/>
              <w:right w:w="0" w:type="dxa"/>
            </w:tcMar>
            <w:vAlign w:val="center"/>
          </w:tcPr>
          <w:p>
            <w:pPr>
              <w:spacing w:before="0" w:after="0" w:line="360" w:lineRule="auto"/>
              <w:rPr>
                <w:rFonts w:hint="eastAsia"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4</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 xml:space="preserve"> 报告期末</w:t>
            </w:r>
            <w:r>
              <w:rPr>
                <w:rFonts w:hint="eastAsia" w:ascii="原版宋体" w:hAnsi="原版宋体" w:eastAsia="原版宋体" w:cs="原版宋体"/>
                <w:color w:val="000000"/>
                <w:sz w:val="20"/>
                <w:lang w:val="en-US" w:eastAsia="zh-CN"/>
              </w:rPr>
              <w:t>现金管理类产品前十大份额投资人情况</w:t>
            </w:r>
          </w:p>
          <w:p>
            <w:pPr>
              <w:spacing w:before="0" w:after="0" w:line="360" w:lineRule="auto"/>
              <w:rPr>
                <w:rFonts w:hint="eastAsia" w:ascii="原版宋体" w:hAnsi="原版宋体" w:eastAsia="原版宋体" w:cs="原版宋体"/>
                <w:color w:val="000000"/>
                <w:sz w:val="20"/>
                <w:lang w:val="en-US" w:eastAsia="zh-CN"/>
              </w:rPr>
            </w:pPr>
          </w:p>
          <w:p>
            <w:pPr>
              <w:spacing w:before="0" w:after="0" w:line="360" w:lineRule="auto"/>
              <w:rPr>
                <w:rFonts w:hint="eastAsia" w:ascii="原版宋体" w:hAnsi="原版宋体" w:eastAsia="原版宋体" w:cs="原版宋体"/>
                <w:color w:val="000000"/>
                <w:sz w:val="20"/>
                <w:lang w:val="en-US" w:eastAsia="zh-CN"/>
              </w:rPr>
            </w:pPr>
          </w:p>
          <w:p>
            <w:pPr>
              <w:spacing w:before="0" w:after="0" w:line="360" w:lineRule="auto"/>
              <w:rPr>
                <w:rFonts w:hint="eastAsia" w:ascii="原版宋体" w:hAnsi="原版宋体" w:eastAsia="原版宋体" w:cs="原版宋体"/>
                <w:color w:val="000000"/>
                <w:sz w:val="20"/>
                <w:lang w:val="en-US" w:eastAsia="zh-CN"/>
              </w:rPr>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hint="eastAsia" w:ascii="原版宋体" w:hAnsi="原版宋体" w:eastAsia="原版宋体" w:cs="原版宋体"/>
                <w:b/>
                <w:color w:val="000000"/>
                <w:sz w:val="20"/>
                <w:lang w:val="en-US" w:eastAsia="zh-CN"/>
              </w:rPr>
            </w:pPr>
            <w:r>
              <w:rPr>
                <w:rFonts w:hint="eastAsia" w:ascii="原版宋体" w:hAnsi="原版宋体" w:eastAsia="原版宋体" w:cs="原版宋体"/>
                <w:b/>
                <w:color w:val="000000"/>
                <w:sz w:val="20"/>
                <w:lang w:val="en-US" w:eastAsia="zh-CN"/>
              </w:rPr>
              <w:t>序号</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201" w:firstLineChars="100"/>
              <w:jc w:val="left"/>
              <w:rPr>
                <w:rFonts w:hint="default" w:eastAsia="原版宋体" w:asciiTheme="minorHAnsi" w:hAnsiTheme="minorHAnsi" w:cstheme="minorBidi"/>
                <w:sz w:val="21"/>
                <w:szCs w:val="22"/>
                <w:lang w:val="en-US" w:eastAsia="zh-CN"/>
              </w:rPr>
            </w:pPr>
            <w:r>
              <w:rPr>
                <w:rFonts w:hint="eastAsia" w:ascii="原版宋体" w:hAnsi="原版宋体" w:eastAsia="原版宋体" w:cs="原版宋体"/>
                <w:b/>
                <w:color w:val="000000"/>
                <w:sz w:val="20"/>
                <w:lang w:val="en-US" w:eastAsia="zh-CN"/>
              </w:rPr>
              <w:t>投资者类别</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201" w:firstLineChars="100"/>
              <w:jc w:val="left"/>
              <w:rPr>
                <w:rFonts w:hint="default" w:ascii="原版宋体" w:hAnsi="原版宋体" w:eastAsia="原版宋体" w:cs="原版宋体"/>
                <w:b/>
                <w:color w:val="000000"/>
                <w:sz w:val="20"/>
                <w:lang w:val="en-US" w:eastAsia="zh-CN"/>
              </w:rPr>
            </w:pPr>
            <w:r>
              <w:rPr>
                <w:rFonts w:hint="eastAsia" w:ascii="原版宋体" w:hAnsi="原版宋体" w:eastAsia="原版宋体" w:cs="原版宋体"/>
                <w:b/>
                <w:color w:val="000000"/>
                <w:sz w:val="20"/>
                <w:lang w:val="en-US" w:eastAsia="zh-CN"/>
              </w:rPr>
              <w:t>持有份额（份）</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201" w:firstLineChars="100"/>
              <w:jc w:val="left"/>
              <w:rPr>
                <w:rFonts w:hint="default" w:eastAsia="原版宋体" w:asciiTheme="minorHAnsi" w:hAnsiTheme="minorHAnsi" w:cstheme="minorBidi"/>
                <w:sz w:val="21"/>
                <w:szCs w:val="22"/>
                <w:lang w:val="en-US" w:eastAsia="zh-CN"/>
              </w:rPr>
            </w:pPr>
            <w:r>
              <w:rPr>
                <w:rFonts w:hint="eastAsia" w:ascii="原版宋体" w:hAnsi="原版宋体" w:eastAsia="原版宋体" w:cs="原版宋体"/>
                <w:b/>
                <w:color w:val="000000"/>
                <w:sz w:val="20"/>
                <w:lang w:val="en-US" w:eastAsia="zh-CN"/>
              </w:rPr>
              <w:t>占总份额占比（%）</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1</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hint="eastAsia"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tabs>
                <w:tab w:val="left" w:pos="979"/>
              </w:tabs>
              <w:spacing w:before="0" w:after="0" w:line="360" w:lineRule="auto"/>
              <w:ind w:firstLine="0" w:firstLineChars="0"/>
              <w:jc w:val="center"/>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100</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000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2.27</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2</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74</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780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1.70</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3</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60</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990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1.39</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4</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51</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000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1.16</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5</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50</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000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1.14</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6</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50</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000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1.14</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7</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42</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000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0.96</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8</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39</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810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0.91</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ind w:firstLine="0" w:firstLineChars="0"/>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ind w:firstLine="0" w:firstLineChars="0"/>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9</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35</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400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spacing w:before="0" w:after="0" w:line="360" w:lineRule="auto"/>
              <w:ind w:firstLine="0" w:firstLineChars="0"/>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0.80</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pPr>
          </w:p>
        </w:tc>
      </w:tr>
      <w:tr>
        <w:tblPrEx>
          <w:tblLayout w:type="fixed"/>
          <w:tblCellMar>
            <w:top w:w="0" w:type="dxa"/>
            <w:left w:w="10" w:type="dxa"/>
            <w:bottom w:w="0" w:type="dxa"/>
            <w:right w:w="10" w:type="dxa"/>
          </w:tblCellMar>
        </w:tblPrEx>
        <w:trPr>
          <w:trHeight w:val="400" w:hRule="exact"/>
        </w:trPr>
        <w:tc>
          <w:tcPr>
            <w:tcW w:w="1" w:type="dxa"/>
            <w:tcBorders>
              <w:right w:val="single" w:color="auto" w:sz="4" w:space="0"/>
            </w:tcBorders>
          </w:tcPr>
          <w:p>
            <w:pPr>
              <w:pStyle w:val="4"/>
            </w:pPr>
          </w:p>
        </w:tc>
        <w:tc>
          <w:tcPr>
            <w:tcW w:w="1157"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left"/>
              <w:rPr>
                <w:rFonts w:ascii="原版宋体" w:hAnsi="原版宋体" w:eastAsia="原版宋体" w:cs="原版宋体"/>
                <w:color w:val="000000"/>
                <w:sz w:val="20"/>
              </w:rPr>
            </w:pPr>
            <w:r>
              <w:rPr>
                <w:rFonts w:ascii="原版宋体" w:hAnsi="原版宋体" w:eastAsia="原版宋体" w:cs="原版宋体"/>
                <w:color w:val="000000"/>
                <w:sz w:val="20"/>
              </w:rPr>
              <w:t xml:space="preserve"> 10</w:t>
            </w:r>
          </w:p>
        </w:tc>
        <w:tc>
          <w:tcPr>
            <w:tcW w:w="2043"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top"/>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机构</w:t>
            </w:r>
          </w:p>
        </w:tc>
        <w:tc>
          <w:tcPr>
            <w:tcW w:w="34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35</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000</w:t>
            </w:r>
            <w:r>
              <w:rPr>
                <w:rFonts w:ascii="原版宋体" w:hAnsi="原版宋体" w:eastAsia="原版宋体" w:cs="原版宋体"/>
                <w:color w:val="000000"/>
                <w:sz w:val="20"/>
              </w:rPr>
              <w:t>,000.00</w:t>
            </w:r>
          </w:p>
        </w:tc>
        <w:tc>
          <w:tcPr>
            <w:tcW w:w="4100" w:type="dxa"/>
            <w:gridSpan w:val="5"/>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0.80</w:t>
            </w:r>
            <w:r>
              <w:rPr>
                <w:rFonts w:ascii="原版宋体" w:hAnsi="原版宋体" w:eastAsia="原版宋体" w:cs="原版宋体"/>
                <w:color w:val="000000"/>
                <w:sz w:val="20"/>
              </w:rPr>
              <w:t>%</w:t>
            </w:r>
          </w:p>
        </w:tc>
        <w:tc>
          <w:tcPr>
            <w:tcW w:w="800" w:type="dxa"/>
            <w:gridSpan w:val="2"/>
            <w:tcBorders>
              <w:left w:val="single" w:color="auto" w:sz="4" w:space="0"/>
            </w:tcBorders>
          </w:tcPr>
          <w:p>
            <w:pPr>
              <w:pStyle w:val="4"/>
            </w:pPr>
          </w:p>
        </w:tc>
      </w:tr>
      <w:tr>
        <w:tblPrEx>
          <w:tblLayout w:type="fixed"/>
          <w:tblCellMar>
            <w:top w:w="0" w:type="dxa"/>
            <w:left w:w="10" w:type="dxa"/>
            <w:bottom w:w="0" w:type="dxa"/>
            <w:right w:w="10" w:type="dxa"/>
          </w:tblCellMar>
        </w:tblPrEx>
        <w:trPr>
          <w:trHeight w:val="711" w:hRule="exact"/>
        </w:trPr>
        <w:tc>
          <w:tcPr>
            <w:tcW w:w="1" w:type="dxa"/>
          </w:tcPr>
          <w:p>
            <w:pPr>
              <w:pStyle w:val="4"/>
            </w:pPr>
          </w:p>
        </w:tc>
        <w:tc>
          <w:tcPr>
            <w:tcW w:w="10700" w:type="dxa"/>
            <w:gridSpan w:val="14"/>
            <w:tcBorders>
              <w:top w:val="single" w:color="auto" w:sz="4" w:space="0"/>
            </w:tcBorders>
            <w:tcMar>
              <w:top w:w="0" w:type="dxa"/>
              <w:left w:w="0" w:type="dxa"/>
              <w:bottom w:w="0" w:type="dxa"/>
              <w:right w:w="0" w:type="dxa"/>
            </w:tcMar>
            <w:vAlign w:val="top"/>
          </w:tcPr>
          <w:p>
            <w:pPr>
              <w:spacing w:before="0" w:after="0" w:line="360" w:lineRule="auto"/>
              <w:jc w:val="right"/>
              <w:rPr>
                <w:rFonts w:ascii="原版宋体" w:hAnsi="原版宋体" w:eastAsia="原版宋体" w:cs="原版宋体"/>
                <w:color w:val="000000"/>
                <w:sz w:val="20"/>
              </w:rPr>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rPr>
                <w:rFonts w:hint="default" w:eastAsia="原版宋体" w:asciiTheme="minorHAnsi" w:hAnsiTheme="minorHAnsi" w:cstheme="minorBidi"/>
                <w:sz w:val="21"/>
                <w:szCs w:val="22"/>
                <w:lang w:val="en-US" w:eastAsia="zh-CN"/>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val="en-US" w:eastAsia="zh-CN"/>
              </w:rPr>
              <w:t>影响理财份额投资人决策的其他重要信息</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center"/>
          </w:tcPr>
          <w:p>
            <w:pPr>
              <w:spacing w:before="0" w:after="0" w:line="360" w:lineRule="auto"/>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5</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 xml:space="preserve"> 报告期</w:t>
            </w:r>
            <w:r>
              <w:rPr>
                <w:rFonts w:hint="eastAsia" w:ascii="原版宋体" w:hAnsi="原版宋体" w:eastAsia="原版宋体" w:cs="原版宋体"/>
                <w:color w:val="000000"/>
                <w:sz w:val="20"/>
                <w:lang w:val="en-US" w:eastAsia="zh-CN"/>
              </w:rPr>
              <w:t>内单一投资者持有产品份额达到或者超过该产品总份额20%的情形</w:t>
            </w:r>
          </w:p>
          <w:p>
            <w:pPr>
              <w:spacing w:before="0" w:after="0" w:line="360" w:lineRule="auto"/>
              <w:rPr>
                <w:rFonts w:hint="eastAsia" w:ascii="原版宋体" w:hAnsi="原版宋体" w:eastAsia="原版宋体" w:cs="原版宋体"/>
                <w:color w:val="000000"/>
                <w:sz w:val="20"/>
                <w:lang w:val="en-US" w:eastAsia="zh-CN"/>
              </w:rPr>
            </w:pPr>
          </w:p>
          <w:p>
            <w:pPr>
              <w:spacing w:before="0" w:after="0" w:line="360" w:lineRule="auto"/>
              <w:rPr>
                <w:rFonts w:hint="eastAsia" w:ascii="原版宋体" w:hAnsi="原版宋体" w:eastAsia="原版宋体" w:cs="原版宋体"/>
                <w:color w:val="000000"/>
                <w:sz w:val="20"/>
                <w:lang w:val="en-US" w:eastAsia="zh-CN"/>
              </w:rPr>
            </w:pPr>
          </w:p>
          <w:p>
            <w:pPr>
              <w:spacing w:before="0" w:after="0" w:line="360" w:lineRule="auto"/>
              <w:rPr>
                <w:rFonts w:hint="eastAsia" w:ascii="原版宋体" w:hAnsi="原版宋体" w:eastAsia="原版宋体" w:cs="原版宋体"/>
                <w:color w:val="000000"/>
                <w:sz w:val="20"/>
                <w:szCs w:val="22"/>
                <w:lang w:val="en-US" w:eastAsia="zh-CN"/>
              </w:rPr>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pPr>
              <w:spacing w:before="0" w:after="0" w:line="360" w:lineRule="auto"/>
              <w:ind w:firstLine="400" w:firstLineChars="200"/>
              <w:jc w:val="left"/>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本产品本报告期无单一投资者持有产品份额达到或者超过该产品总份额20%的情形。</w:t>
            </w:r>
          </w:p>
        </w:tc>
        <w:tc>
          <w:tcPr>
            <w:tcW w:w="800" w:type="dxa"/>
            <w:gridSpan w:val="2"/>
          </w:tcPr>
          <w:p>
            <w:pPr>
              <w:pStyle w:val="4"/>
            </w:pPr>
          </w:p>
        </w:tc>
      </w:tr>
      <w:tr>
        <w:tblPrEx>
          <w:tblLayout w:type="fixed"/>
          <w:tblCellMar>
            <w:top w:w="0" w:type="dxa"/>
            <w:left w:w="10" w:type="dxa"/>
            <w:bottom w:w="0" w:type="dxa"/>
            <w:right w:w="10" w:type="dxa"/>
          </w:tblCellMar>
        </w:tblPrEx>
        <w:trPr>
          <w:trHeight w:val="786" w:hRule="exact"/>
        </w:trPr>
        <w:tc>
          <w:tcPr>
            <w:tcW w:w="1" w:type="dxa"/>
          </w:tcPr>
          <w:p>
            <w:pPr>
              <w:pStyle w:val="4"/>
            </w:pPr>
          </w:p>
        </w:tc>
        <w:tc>
          <w:tcPr>
            <w:tcW w:w="10700" w:type="dxa"/>
            <w:gridSpan w:val="14"/>
            <w:tcMar>
              <w:top w:w="0" w:type="dxa"/>
              <w:left w:w="0" w:type="dxa"/>
              <w:bottom w:w="0" w:type="dxa"/>
              <w:right w:w="0" w:type="dxa"/>
            </w:tcMar>
            <w:vAlign w:val="top"/>
          </w:tcPr>
          <w:p>
            <w:pPr>
              <w:spacing w:before="0" w:after="0" w:line="360" w:lineRule="auto"/>
              <w:jc w:val="right"/>
              <w:rPr>
                <w:rFonts w:ascii="原版宋体" w:hAnsi="原版宋体" w:eastAsia="原版宋体" w:cs="原版宋体"/>
                <w:color w:val="000000"/>
                <w:sz w:val="20"/>
              </w:rPr>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pPr>
              <w:spacing w:before="0" w:after="0" w:line="360" w:lineRule="auto"/>
              <w:jc w:val="right"/>
              <w:rPr>
                <w:rFonts w:ascii="原版宋体" w:hAnsi="原版宋体" w:eastAsia="原版宋体" w:cs="原版宋体"/>
                <w:color w:val="000000"/>
                <w:sz w:val="20"/>
              </w:rPr>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pPr>
              <w:spacing w:before="0" w:after="0" w:line="360" w:lineRule="auto"/>
              <w:jc w:val="right"/>
              <w:rPr>
                <w:rFonts w:ascii="原版宋体" w:hAnsi="原版宋体" w:eastAsia="原版宋体" w:cs="原版宋体"/>
                <w:color w:val="000000"/>
                <w:sz w:val="20"/>
              </w:rPr>
            </w:pP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pPr>
              <w:spacing w:before="0" w:after="0" w:line="360" w:lineRule="auto"/>
              <w:jc w:val="right"/>
              <w:rPr>
                <w:rFonts w:asciiTheme="minorHAnsi" w:hAnsiTheme="minorHAnsi" w:eastAsiaTheme="minorEastAsia" w:cstheme="minorBidi"/>
                <w:sz w:val="21"/>
                <w:szCs w:val="22"/>
              </w:rPr>
            </w:pPr>
            <w:r>
              <w:rPr>
                <w:rFonts w:ascii="原版宋体" w:hAnsi="原版宋体" w:eastAsia="原版宋体" w:cs="原版宋体"/>
                <w:color w:val="000000"/>
                <w:sz w:val="20"/>
              </w:rPr>
              <w:t>江苏张家港农村商业银行股份有限公司</w:t>
            </w:r>
          </w:p>
        </w:tc>
        <w:tc>
          <w:tcPr>
            <w:tcW w:w="800" w:type="dxa"/>
            <w:gridSpan w:val="2"/>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4"/>
            <w:tcMar>
              <w:top w:w="0" w:type="dxa"/>
              <w:left w:w="0" w:type="dxa"/>
              <w:bottom w:w="0" w:type="dxa"/>
              <w:right w:w="0" w:type="dxa"/>
            </w:tcMar>
            <w:vAlign w:val="top"/>
          </w:tcPr>
          <w:p>
            <w:pPr>
              <w:spacing w:before="0" w:after="0" w:line="360" w:lineRule="auto"/>
              <w:jc w:val="right"/>
              <w:rPr>
                <w:rFonts w:asciiTheme="minorHAnsi" w:hAnsiTheme="minorHAnsi" w:eastAsiaTheme="minorEastAsia" w:cstheme="minorBidi"/>
                <w:sz w:val="21"/>
                <w:szCs w:val="22"/>
              </w:rPr>
            </w:pPr>
            <w:r>
              <w:rPr>
                <w:rFonts w:ascii="原版宋体" w:hAnsi="原版宋体" w:eastAsia="原版宋体" w:cs="原版宋体"/>
                <w:color w:val="000000"/>
                <w:sz w:val="20"/>
              </w:rPr>
              <w:t>2022年</w:t>
            </w:r>
            <w:r>
              <w:rPr>
                <w:rFonts w:hint="eastAsia" w:ascii="原版宋体" w:hAnsi="原版宋体" w:eastAsia="原版宋体" w:cs="原版宋体"/>
                <w:color w:val="000000"/>
                <w:sz w:val="20"/>
                <w:lang w:val="en-US" w:eastAsia="zh-CN"/>
              </w:rPr>
              <w:t>12</w:t>
            </w:r>
            <w:r>
              <w:rPr>
                <w:rFonts w:ascii="原版宋体" w:hAnsi="原版宋体" w:eastAsia="原版宋体" w:cs="原版宋体"/>
                <w:color w:val="000000"/>
                <w:sz w:val="20"/>
              </w:rPr>
              <w:t>月3</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日</w:t>
            </w:r>
          </w:p>
        </w:tc>
        <w:tc>
          <w:tcPr>
            <w:tcW w:w="800" w:type="dxa"/>
            <w:gridSpan w:val="2"/>
          </w:tcPr>
          <w:p>
            <w:pPr>
              <w:pStyle w:val="4"/>
            </w:pPr>
          </w:p>
        </w:tc>
      </w:tr>
    </w:tbl>
    <w:p>
      <w:bookmarkStart w:id="3" w:name="_GoBack"/>
      <w:bookmarkEnd w:id="3"/>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800"/>
  <w:displayHorizontalDrawingGridEvery w:val="1"/>
  <w:displayVerticalDrawingGridEvery w:val="1"/>
  <w:noPunctuationKerning w:val="1"/>
  <w:compat>
    <w:doNotExpandShiftReturn/>
    <w:doNotWrapTextWithPunct/>
    <w:doNotUseEastAsianBreakRules/>
    <w:useFELayout/>
    <w:doNotUseIndentAsNumberingTabStop/>
    <w:useAltKinsokuLineBreakRules/>
    <w:splitPgBreakAndParaMark/>
    <w:compatSetting w:name="compatibilityMode" w:uri="http://schemas.microsoft.com/office/word" w:val="12"/>
  </w:compat>
  <w:docVars>
    <w:docVar w:name="commondata" w:val="eyJoZGlkIjoiNTc0MTIzMGVjOTAxMWU3N2QzNmQ3YzIzZTZkMzgzMGEifQ=="/>
  </w:docVars>
  <w:rsids>
    <w:rsidRoot w:val="00000000"/>
    <w:rsid w:val="02251C79"/>
    <w:rsid w:val="06C5599B"/>
    <w:rsid w:val="07F25210"/>
    <w:rsid w:val="096501ED"/>
    <w:rsid w:val="0A1C6530"/>
    <w:rsid w:val="0D474670"/>
    <w:rsid w:val="0D767D15"/>
    <w:rsid w:val="13F15336"/>
    <w:rsid w:val="208851C1"/>
    <w:rsid w:val="299179AD"/>
    <w:rsid w:val="34E87AF7"/>
    <w:rsid w:val="355E39C9"/>
    <w:rsid w:val="35AD6EB7"/>
    <w:rsid w:val="36237E8A"/>
    <w:rsid w:val="3CCF2A8E"/>
    <w:rsid w:val="3E8B1D5F"/>
    <w:rsid w:val="3F897A87"/>
    <w:rsid w:val="3FE47DF2"/>
    <w:rsid w:val="4A497A00"/>
    <w:rsid w:val="513339AB"/>
    <w:rsid w:val="553874B0"/>
    <w:rsid w:val="56613B8B"/>
    <w:rsid w:val="592A6D24"/>
    <w:rsid w:val="5C0D6D31"/>
    <w:rsid w:val="607F23EC"/>
    <w:rsid w:val="69224753"/>
    <w:rsid w:val="74801728"/>
    <w:rsid w:val="7FD142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974</Words>
  <Characters>1737</Characters>
  <TotalTime>0</TotalTime>
  <ScaleCrop>false</ScaleCrop>
  <LinksUpToDate>false</LinksUpToDate>
  <CharactersWithSpaces>1875</CharactersWithSpaces>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2022-07-19T00:43:00Z</dcterms:created>
  <dc:creator>ZRC</dc:creator>
  <cp:lastModifiedBy>ZRC</cp:lastModifiedBy>
  <dcterms:modified xsi:type="dcterms:W3CDTF">2023-03-27T02:02:47Z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25B82CCF7CD74CD0BFEA7706A03B58E8</vt:lpwstr>
  </property>
</Properties>
</file>