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11501" w:type="dxa"/>
        <w:tblInd w:w="0" w:type="dxa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1"/>
        <w:gridCol w:w="800"/>
        <w:gridCol w:w="2000"/>
        <w:gridCol w:w="400"/>
        <w:gridCol w:w="400"/>
        <w:gridCol w:w="400"/>
        <w:gridCol w:w="20"/>
        <w:gridCol w:w="980"/>
        <w:gridCol w:w="1600"/>
        <w:gridCol w:w="400"/>
        <w:gridCol w:w="400"/>
        <w:gridCol w:w="220"/>
        <w:gridCol w:w="1380"/>
        <w:gridCol w:w="1700"/>
        <w:gridCol w:w="20"/>
        <w:gridCol w:w="780"/>
      </w:tblGrid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0" w:hRule="atLeast"/>
        </w:trPr>
        <w:tc>
          <w:tcPr>
            <w:tcW w:w="1" w:type="dxa"/>
          </w:tcPr>
          <w:p>
            <w:pPr>
              <w:pStyle w:val="4"/>
            </w:pPr>
            <w:bookmarkStart w:id="3" w:name="_GoBack"/>
            <w:bookmarkEnd w:id="3"/>
            <w:bookmarkStart w:id="0" w:name="JR_PAGE_ANCHOR_0_1"/>
            <w:bookmarkEnd w:id="0"/>
          </w:p>
        </w:tc>
        <w:tc>
          <w:tcPr>
            <w:tcW w:w="800" w:type="dxa"/>
          </w:tcPr>
          <w:p>
            <w:pPr>
              <w:pStyle w:val="4"/>
            </w:pPr>
          </w:p>
        </w:tc>
        <w:tc>
          <w:tcPr>
            <w:tcW w:w="2800" w:type="dxa"/>
            <w:gridSpan w:val="3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3400" w:type="dxa"/>
            <w:gridSpan w:val="5"/>
          </w:tcPr>
          <w:p>
            <w:pPr>
              <w:pStyle w:val="4"/>
            </w:pPr>
          </w:p>
        </w:tc>
        <w:tc>
          <w:tcPr>
            <w:tcW w:w="3300" w:type="dxa"/>
            <w:gridSpan w:val="3"/>
          </w:tcPr>
          <w:p>
            <w:pPr>
              <w:pStyle w:val="4"/>
            </w:pP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8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240" w:lineRule="auto"/>
              <w:jc w:val="center"/>
            </w:pPr>
            <w:r>
              <w:rPr>
                <w:rFonts w:ascii="原版宋体" w:hAnsi="原版宋体" w:eastAsia="原版宋体" w:cs="原版宋体"/>
                <w:b/>
                <w:color w:val="000000"/>
                <w:sz w:val="40"/>
              </w:rPr>
              <w:t>“金港湾瑞享12号B款”定期报告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</w:tcPr>
          <w:p>
            <w:pPr>
              <w:pStyle w:val="4"/>
            </w:pPr>
          </w:p>
        </w:tc>
        <w:tc>
          <w:tcPr>
            <w:tcW w:w="2800" w:type="dxa"/>
            <w:gridSpan w:val="3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3400" w:type="dxa"/>
            <w:gridSpan w:val="5"/>
          </w:tcPr>
          <w:p>
            <w:pPr>
              <w:pStyle w:val="4"/>
            </w:pPr>
          </w:p>
        </w:tc>
        <w:tc>
          <w:tcPr>
            <w:tcW w:w="3300" w:type="dxa"/>
            <w:gridSpan w:val="3"/>
          </w:tcPr>
          <w:p>
            <w:pPr>
              <w:pStyle w:val="4"/>
            </w:pP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产品管理人：江苏张家港农村商业银行股份有限公司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产品托管人：南京银行股份有限公司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发布时间：2022年12月31日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</w:tcPr>
          <w:p>
            <w:pPr>
              <w:pStyle w:val="4"/>
            </w:pPr>
          </w:p>
        </w:tc>
        <w:tc>
          <w:tcPr>
            <w:tcW w:w="2800" w:type="dxa"/>
            <w:gridSpan w:val="3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3400" w:type="dxa"/>
            <w:gridSpan w:val="5"/>
          </w:tcPr>
          <w:p>
            <w:pPr>
              <w:pStyle w:val="4"/>
            </w:pPr>
          </w:p>
        </w:tc>
        <w:tc>
          <w:tcPr>
            <w:tcW w:w="3300" w:type="dxa"/>
            <w:gridSpan w:val="3"/>
          </w:tcPr>
          <w:p>
            <w:pPr>
              <w:pStyle w:val="4"/>
            </w:pP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1  重要提示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产品的过往业绩并不代表其未来表现。投资有风险，投资者在作出投资决策前应仔细阅读本产品说明书。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本报告中财务资料未经审计。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本报告期自2022年01月01日起至12月31日止。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</w:tcPr>
          <w:p>
            <w:pPr>
              <w:pStyle w:val="4"/>
            </w:pPr>
          </w:p>
        </w:tc>
        <w:tc>
          <w:tcPr>
            <w:tcW w:w="2800" w:type="dxa"/>
            <w:gridSpan w:val="3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3400" w:type="dxa"/>
            <w:gridSpan w:val="5"/>
          </w:tcPr>
          <w:p>
            <w:pPr>
              <w:pStyle w:val="4"/>
            </w:pPr>
          </w:p>
        </w:tc>
        <w:tc>
          <w:tcPr>
            <w:tcW w:w="3300" w:type="dxa"/>
            <w:gridSpan w:val="3"/>
          </w:tcPr>
          <w:p>
            <w:pPr>
              <w:pStyle w:val="4"/>
            </w:pP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2  产品概况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8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产品名称</w:t>
            </w:r>
          </w:p>
        </w:tc>
        <w:tc>
          <w:tcPr>
            <w:tcW w:w="7100" w:type="dxa"/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金港湾瑞享12号B款净值型人民币理财产品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产品编码</w:t>
            </w:r>
          </w:p>
        </w:tc>
        <w:tc>
          <w:tcPr>
            <w:tcW w:w="7100" w:type="dxa"/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RX12B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全国银行业理财信息登记系统编码</w:t>
            </w:r>
          </w:p>
        </w:tc>
        <w:tc>
          <w:tcPr>
            <w:tcW w:w="7100" w:type="dxa"/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C1115620000014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产品运作方式</w:t>
            </w:r>
          </w:p>
        </w:tc>
        <w:tc>
          <w:tcPr>
            <w:tcW w:w="7100" w:type="dxa"/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开放式净值型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产品类型</w:t>
            </w:r>
          </w:p>
        </w:tc>
        <w:tc>
          <w:tcPr>
            <w:tcW w:w="7100" w:type="dxa"/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固定收益类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募集方式</w:t>
            </w:r>
          </w:p>
        </w:tc>
        <w:tc>
          <w:tcPr>
            <w:tcW w:w="7100" w:type="dxa"/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公募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报告期末产品份额总额</w:t>
            </w:r>
          </w:p>
        </w:tc>
        <w:tc>
          <w:tcPr>
            <w:tcW w:w="7100" w:type="dxa"/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1,712,302,684.70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报告期末单位净值</w:t>
            </w:r>
          </w:p>
        </w:tc>
        <w:tc>
          <w:tcPr>
            <w:tcW w:w="7100" w:type="dxa"/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1.0753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报告期末累计单位净值</w:t>
            </w:r>
          </w:p>
        </w:tc>
        <w:tc>
          <w:tcPr>
            <w:tcW w:w="7100" w:type="dxa"/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1.0753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报告期末净值增长率（年化）</w:t>
            </w:r>
          </w:p>
        </w:tc>
        <w:tc>
          <w:tcPr>
            <w:tcW w:w="7100" w:type="dxa"/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3.9837%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</w:tcPr>
          <w:p>
            <w:pPr>
              <w:pStyle w:val="4"/>
            </w:pPr>
          </w:p>
        </w:tc>
        <w:tc>
          <w:tcPr>
            <w:tcW w:w="2800" w:type="dxa"/>
            <w:gridSpan w:val="3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3400" w:type="dxa"/>
            <w:gridSpan w:val="5"/>
          </w:tcPr>
          <w:p>
            <w:pPr>
              <w:pStyle w:val="4"/>
            </w:pPr>
          </w:p>
        </w:tc>
        <w:tc>
          <w:tcPr>
            <w:tcW w:w="3300" w:type="dxa"/>
            <w:gridSpan w:val="3"/>
          </w:tcPr>
          <w:p>
            <w:pPr>
              <w:pStyle w:val="4"/>
            </w:pP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3  资产组合报告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3.1 报告期末产品资产组合情况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序号</w:t>
            </w: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项目</w:t>
            </w:r>
          </w:p>
        </w:tc>
        <w:tc>
          <w:tcPr>
            <w:tcW w:w="34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金额（元）</w:t>
            </w:r>
          </w:p>
        </w:tc>
        <w:tc>
          <w:tcPr>
            <w:tcW w:w="33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占资产组合比例（%）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</w:t>
            </w: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固定收益投资</w:t>
            </w:r>
          </w:p>
        </w:tc>
        <w:tc>
          <w:tcPr>
            <w:tcW w:w="34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2,</w:t>
            </w:r>
            <w:r>
              <w:rPr>
                <w:rFonts w:hint="eastAsia" w:ascii="原版宋体" w:hAnsi="原版宋体" w:eastAsia="原版宋体" w:cs="原版宋体"/>
                <w:color w:val="000000"/>
                <w:sz w:val="20"/>
                <w:lang w:val="en-US" w:eastAsia="zh-CN"/>
              </w:rPr>
              <w:t>303</w:t>
            </w: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,</w:t>
            </w:r>
            <w:r>
              <w:rPr>
                <w:rFonts w:hint="eastAsia" w:ascii="原版宋体" w:hAnsi="原版宋体" w:eastAsia="原版宋体" w:cs="原版宋体"/>
                <w:color w:val="000000"/>
                <w:sz w:val="20"/>
                <w:lang w:val="en-US" w:eastAsia="zh-CN"/>
              </w:rPr>
              <w:t>668</w:t>
            </w: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,</w:t>
            </w:r>
            <w:r>
              <w:rPr>
                <w:rFonts w:hint="eastAsia" w:ascii="原版宋体" w:hAnsi="原版宋体" w:eastAsia="原版宋体" w:cs="原版宋体"/>
                <w:color w:val="000000"/>
                <w:sz w:val="20"/>
                <w:lang w:val="en-US" w:eastAsia="zh-CN"/>
              </w:rPr>
              <w:t>082</w:t>
            </w: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.</w:t>
            </w:r>
            <w:r>
              <w:rPr>
                <w:rFonts w:hint="eastAsia" w:ascii="原版宋体" w:hAnsi="原版宋体" w:eastAsia="原版宋体" w:cs="原版宋体"/>
                <w:color w:val="000000"/>
                <w:sz w:val="20"/>
                <w:lang w:val="en-US" w:eastAsia="zh-CN"/>
              </w:rPr>
              <w:t>7</w:t>
            </w: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6</w:t>
            </w:r>
          </w:p>
        </w:tc>
        <w:tc>
          <w:tcPr>
            <w:tcW w:w="33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99.</w:t>
            </w:r>
            <w:r>
              <w:rPr>
                <w:rFonts w:hint="eastAsia" w:ascii="原版宋体" w:hAnsi="原版宋体" w:eastAsia="原版宋体" w:cs="原版宋体"/>
                <w:color w:val="000000"/>
                <w:sz w:val="20"/>
                <w:lang w:val="en-US" w:eastAsia="zh-CN"/>
              </w:rPr>
              <w:t>88</w:t>
            </w: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%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其中:银行间/交易所产品</w:t>
            </w:r>
          </w:p>
        </w:tc>
        <w:tc>
          <w:tcPr>
            <w:tcW w:w="34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1,848,355,576.49</w:t>
            </w:r>
          </w:p>
        </w:tc>
        <w:tc>
          <w:tcPr>
            <w:tcW w:w="33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80.14%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  其中：回购</w:t>
            </w:r>
          </w:p>
        </w:tc>
        <w:tc>
          <w:tcPr>
            <w:tcW w:w="34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71,022,590.33</w:t>
            </w:r>
          </w:p>
        </w:tc>
        <w:tc>
          <w:tcPr>
            <w:tcW w:w="33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3.08%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0" w:hRule="atLeast"/>
        </w:trPr>
        <w:tc>
          <w:tcPr>
            <w:tcW w:w="1" w:type="dxa"/>
          </w:tcPr>
          <w:p>
            <w:pPr>
              <w:pStyle w:val="4"/>
              <w:pageBreakBefore/>
            </w:pPr>
            <w:bookmarkStart w:id="1" w:name="JR_PAGE_ANCHOR_0_2"/>
            <w:bookmarkEnd w:id="1"/>
          </w:p>
        </w:tc>
        <w:tc>
          <w:tcPr>
            <w:tcW w:w="800" w:type="dxa"/>
          </w:tcPr>
          <w:p>
            <w:pPr>
              <w:pStyle w:val="4"/>
            </w:pPr>
          </w:p>
        </w:tc>
        <w:tc>
          <w:tcPr>
            <w:tcW w:w="2000" w:type="dxa"/>
          </w:tcPr>
          <w:p>
            <w:pPr>
              <w:pStyle w:val="4"/>
            </w:pPr>
          </w:p>
        </w:tc>
        <w:tc>
          <w:tcPr>
            <w:tcW w:w="1200" w:type="dxa"/>
            <w:gridSpan w:val="3"/>
          </w:tcPr>
          <w:p>
            <w:pPr>
              <w:pStyle w:val="4"/>
            </w:pP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980" w:type="dxa"/>
          </w:tcPr>
          <w:p>
            <w:pPr>
              <w:pStyle w:val="4"/>
            </w:pPr>
          </w:p>
        </w:tc>
        <w:tc>
          <w:tcPr>
            <w:tcW w:w="2000" w:type="dxa"/>
            <w:gridSpan w:val="2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220" w:type="dxa"/>
          </w:tcPr>
          <w:p>
            <w:pPr>
              <w:pStyle w:val="4"/>
            </w:pPr>
          </w:p>
        </w:tc>
        <w:tc>
          <w:tcPr>
            <w:tcW w:w="1380" w:type="dxa"/>
          </w:tcPr>
          <w:p>
            <w:pPr>
              <w:pStyle w:val="4"/>
            </w:pPr>
          </w:p>
        </w:tc>
        <w:tc>
          <w:tcPr>
            <w:tcW w:w="1700" w:type="dxa"/>
          </w:tcPr>
          <w:p>
            <w:pPr>
              <w:pStyle w:val="4"/>
            </w:pP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非银行间/非交易所产品</w:t>
            </w:r>
          </w:p>
        </w:tc>
        <w:tc>
          <w:tcPr>
            <w:tcW w:w="34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4</w:t>
            </w:r>
            <w:r>
              <w:rPr>
                <w:rFonts w:hint="eastAsia" w:ascii="原版宋体" w:hAnsi="原版宋体" w:eastAsia="原版宋体" w:cs="原版宋体"/>
                <w:color w:val="000000"/>
                <w:sz w:val="20"/>
                <w:lang w:val="en-US" w:eastAsia="zh-CN"/>
              </w:rPr>
              <w:t>55</w:t>
            </w: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,3</w:t>
            </w:r>
            <w:r>
              <w:rPr>
                <w:rFonts w:hint="eastAsia" w:ascii="原版宋体" w:hAnsi="原版宋体" w:eastAsia="原版宋体" w:cs="原版宋体"/>
                <w:color w:val="000000"/>
                <w:sz w:val="20"/>
                <w:lang w:val="en-US" w:eastAsia="zh-CN"/>
              </w:rPr>
              <w:t>12</w:t>
            </w: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,</w:t>
            </w:r>
            <w:r>
              <w:rPr>
                <w:rFonts w:hint="eastAsia" w:ascii="原版宋体" w:hAnsi="原版宋体" w:eastAsia="原版宋体" w:cs="原版宋体"/>
                <w:color w:val="000000"/>
                <w:sz w:val="20"/>
                <w:lang w:val="en-US" w:eastAsia="zh-CN"/>
              </w:rPr>
              <w:t>506</w:t>
            </w: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.</w:t>
            </w:r>
            <w:r>
              <w:rPr>
                <w:rFonts w:hint="eastAsia" w:ascii="原版宋体" w:hAnsi="原版宋体" w:eastAsia="原版宋体" w:cs="原版宋体"/>
                <w:color w:val="000000"/>
                <w:sz w:val="20"/>
                <w:lang w:val="en-US" w:eastAsia="zh-CN"/>
              </w:rPr>
              <w:t>2</w:t>
            </w: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7</w:t>
            </w:r>
          </w:p>
        </w:tc>
        <w:tc>
          <w:tcPr>
            <w:tcW w:w="33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19.</w:t>
            </w:r>
            <w:r>
              <w:rPr>
                <w:rFonts w:hint="eastAsia" w:ascii="原版宋体" w:hAnsi="原版宋体" w:eastAsia="原版宋体" w:cs="原版宋体"/>
                <w:color w:val="000000"/>
                <w:sz w:val="20"/>
                <w:lang w:val="en-US" w:eastAsia="zh-CN"/>
              </w:rPr>
              <w:t>74</w:t>
            </w: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%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</w:t>
            </w: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权益投资</w:t>
            </w:r>
          </w:p>
        </w:tc>
        <w:tc>
          <w:tcPr>
            <w:tcW w:w="34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lang w:val="en-US" w:eastAsia="zh-CN"/>
              </w:rPr>
              <w:t>1</w:t>
            </w: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,</w:t>
            </w:r>
            <w:r>
              <w:rPr>
                <w:rFonts w:hint="eastAsia" w:ascii="原版宋体" w:hAnsi="原版宋体" w:eastAsia="原版宋体" w:cs="原版宋体"/>
                <w:color w:val="000000"/>
                <w:sz w:val="20"/>
                <w:lang w:val="en-US" w:eastAsia="zh-CN"/>
              </w:rPr>
              <w:t>420</w:t>
            </w: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,</w:t>
            </w:r>
            <w:r>
              <w:rPr>
                <w:rFonts w:hint="eastAsia" w:ascii="原版宋体" w:hAnsi="原版宋体" w:eastAsia="原版宋体" w:cs="原版宋体"/>
                <w:color w:val="000000"/>
                <w:sz w:val="20"/>
                <w:lang w:val="en-US" w:eastAsia="zh-CN"/>
              </w:rPr>
              <w:t>859</w:t>
            </w: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.</w:t>
            </w:r>
            <w:r>
              <w:rPr>
                <w:rFonts w:hint="eastAsia" w:ascii="原版宋体" w:hAnsi="原版宋体" w:eastAsia="原版宋体" w:cs="原版宋体"/>
                <w:color w:val="000000"/>
                <w:sz w:val="20"/>
                <w:lang w:val="en-US" w:eastAsia="zh-CN"/>
              </w:rPr>
              <w:t>1</w:t>
            </w: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</w:t>
            </w:r>
          </w:p>
        </w:tc>
        <w:tc>
          <w:tcPr>
            <w:tcW w:w="33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</w:t>
            </w:r>
            <w:r>
              <w:rPr>
                <w:rFonts w:hint="eastAsia" w:ascii="原版宋体" w:hAnsi="原版宋体" w:eastAsia="原版宋体" w:cs="原版宋体"/>
                <w:color w:val="000000"/>
                <w:sz w:val="20"/>
                <w:lang w:val="en-US" w:eastAsia="zh-CN"/>
              </w:rPr>
              <w:t>06</w:t>
            </w: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%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其中：基金</w:t>
            </w:r>
          </w:p>
        </w:tc>
        <w:tc>
          <w:tcPr>
            <w:tcW w:w="34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1,</w:t>
            </w:r>
            <w:r>
              <w:rPr>
                <w:rFonts w:hint="eastAsia" w:ascii="原版宋体" w:hAnsi="原版宋体" w:eastAsia="原版宋体" w:cs="原版宋体"/>
                <w:color w:val="000000"/>
                <w:sz w:val="20"/>
                <w:lang w:val="en-US" w:eastAsia="zh-CN"/>
              </w:rPr>
              <w:t>420</w:t>
            </w: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,</w:t>
            </w:r>
            <w:r>
              <w:rPr>
                <w:rFonts w:hint="eastAsia" w:ascii="原版宋体" w:hAnsi="原版宋体" w:eastAsia="原版宋体" w:cs="原版宋体"/>
                <w:color w:val="000000"/>
                <w:sz w:val="20"/>
                <w:lang w:val="en-US" w:eastAsia="zh-CN"/>
              </w:rPr>
              <w:t>859</w:t>
            </w: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.</w:t>
            </w:r>
            <w:r>
              <w:rPr>
                <w:rFonts w:hint="eastAsia" w:ascii="原版宋体" w:hAnsi="原版宋体" w:eastAsia="原版宋体" w:cs="原版宋体"/>
                <w:color w:val="000000"/>
                <w:sz w:val="20"/>
                <w:lang w:val="en-US" w:eastAsia="zh-CN"/>
              </w:rPr>
              <w:t>1</w:t>
            </w: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</w:t>
            </w:r>
          </w:p>
        </w:tc>
        <w:tc>
          <w:tcPr>
            <w:tcW w:w="33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</w:t>
            </w:r>
            <w:r>
              <w:rPr>
                <w:rFonts w:hint="eastAsia" w:ascii="原版宋体" w:hAnsi="原版宋体" w:eastAsia="原版宋体" w:cs="原版宋体"/>
                <w:color w:val="000000"/>
                <w:sz w:val="20"/>
                <w:lang w:val="en-US" w:eastAsia="zh-CN"/>
              </w:rPr>
              <w:t>06</w:t>
            </w: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%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</w:t>
            </w: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银行存款合计</w:t>
            </w:r>
          </w:p>
        </w:tc>
        <w:tc>
          <w:tcPr>
            <w:tcW w:w="34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1,268,846.45</w:t>
            </w:r>
          </w:p>
        </w:tc>
        <w:tc>
          <w:tcPr>
            <w:tcW w:w="33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0.06%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4</w:t>
            </w: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其他资产</w:t>
            </w:r>
          </w:p>
        </w:tc>
        <w:tc>
          <w:tcPr>
            <w:tcW w:w="34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</w:t>
            </w:r>
          </w:p>
        </w:tc>
        <w:tc>
          <w:tcPr>
            <w:tcW w:w="33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0.00%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5</w:t>
            </w: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合计</w:t>
            </w:r>
          </w:p>
        </w:tc>
        <w:tc>
          <w:tcPr>
            <w:tcW w:w="34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2,306,357,788.31</w:t>
            </w:r>
          </w:p>
        </w:tc>
        <w:tc>
          <w:tcPr>
            <w:tcW w:w="33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100.00%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</w:tcPr>
          <w:p>
            <w:pPr>
              <w:pStyle w:val="4"/>
            </w:pPr>
          </w:p>
        </w:tc>
        <w:tc>
          <w:tcPr>
            <w:tcW w:w="2000" w:type="dxa"/>
          </w:tcPr>
          <w:p>
            <w:pPr>
              <w:pStyle w:val="4"/>
            </w:pPr>
          </w:p>
        </w:tc>
        <w:tc>
          <w:tcPr>
            <w:tcW w:w="1200" w:type="dxa"/>
            <w:gridSpan w:val="3"/>
          </w:tcPr>
          <w:p>
            <w:pPr>
              <w:pStyle w:val="4"/>
            </w:pP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980" w:type="dxa"/>
          </w:tcPr>
          <w:p>
            <w:pPr>
              <w:pStyle w:val="4"/>
            </w:pPr>
          </w:p>
        </w:tc>
        <w:tc>
          <w:tcPr>
            <w:tcW w:w="2000" w:type="dxa"/>
            <w:gridSpan w:val="2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220" w:type="dxa"/>
          </w:tcPr>
          <w:p>
            <w:pPr>
              <w:pStyle w:val="4"/>
            </w:pPr>
          </w:p>
        </w:tc>
        <w:tc>
          <w:tcPr>
            <w:tcW w:w="1380" w:type="dxa"/>
          </w:tcPr>
          <w:p>
            <w:pPr>
              <w:pStyle w:val="4"/>
            </w:pPr>
          </w:p>
        </w:tc>
        <w:tc>
          <w:tcPr>
            <w:tcW w:w="1700" w:type="dxa"/>
          </w:tcPr>
          <w:p>
            <w:pPr>
              <w:pStyle w:val="4"/>
            </w:pP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3.2 报告期末按债券品种分类的债券投资组合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序号</w:t>
            </w:r>
          </w:p>
        </w:tc>
        <w:tc>
          <w:tcPr>
            <w:tcW w:w="322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债券品种</w:t>
            </w:r>
          </w:p>
        </w:tc>
        <w:tc>
          <w:tcPr>
            <w:tcW w:w="36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金额（元）</w:t>
            </w:r>
          </w:p>
        </w:tc>
        <w:tc>
          <w:tcPr>
            <w:tcW w:w="31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占资产组合比例（%）</w:t>
            </w: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</w:t>
            </w:r>
          </w:p>
        </w:tc>
        <w:tc>
          <w:tcPr>
            <w:tcW w:w="322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国家债券</w:t>
            </w:r>
          </w:p>
        </w:tc>
        <w:tc>
          <w:tcPr>
            <w:tcW w:w="36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143,064,543.84</w:t>
            </w:r>
          </w:p>
        </w:tc>
        <w:tc>
          <w:tcPr>
            <w:tcW w:w="31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6.20%</w:t>
            </w: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</w:t>
            </w:r>
          </w:p>
        </w:tc>
        <w:tc>
          <w:tcPr>
            <w:tcW w:w="322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央行票据</w:t>
            </w:r>
          </w:p>
        </w:tc>
        <w:tc>
          <w:tcPr>
            <w:tcW w:w="36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</w:t>
            </w:r>
          </w:p>
        </w:tc>
        <w:tc>
          <w:tcPr>
            <w:tcW w:w="31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0.00%</w:t>
            </w: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</w:t>
            </w:r>
          </w:p>
        </w:tc>
        <w:tc>
          <w:tcPr>
            <w:tcW w:w="322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金融债券</w:t>
            </w:r>
          </w:p>
        </w:tc>
        <w:tc>
          <w:tcPr>
            <w:tcW w:w="36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233,679,485.07</w:t>
            </w:r>
          </w:p>
        </w:tc>
        <w:tc>
          <w:tcPr>
            <w:tcW w:w="31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10.13%</w:t>
            </w: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</w:p>
        </w:tc>
        <w:tc>
          <w:tcPr>
            <w:tcW w:w="322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其中：政策性金融债</w:t>
            </w:r>
          </w:p>
        </w:tc>
        <w:tc>
          <w:tcPr>
            <w:tcW w:w="36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223,532,088.77</w:t>
            </w:r>
          </w:p>
        </w:tc>
        <w:tc>
          <w:tcPr>
            <w:tcW w:w="31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9.69%</w:t>
            </w: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4</w:t>
            </w:r>
          </w:p>
        </w:tc>
        <w:tc>
          <w:tcPr>
            <w:tcW w:w="322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企业债券</w:t>
            </w:r>
          </w:p>
        </w:tc>
        <w:tc>
          <w:tcPr>
            <w:tcW w:w="36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1,380,079,002.97</w:t>
            </w:r>
          </w:p>
        </w:tc>
        <w:tc>
          <w:tcPr>
            <w:tcW w:w="31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59.84%</w:t>
            </w: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5</w:t>
            </w:r>
          </w:p>
        </w:tc>
        <w:tc>
          <w:tcPr>
            <w:tcW w:w="322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企业短期融资券</w:t>
            </w:r>
          </w:p>
        </w:tc>
        <w:tc>
          <w:tcPr>
            <w:tcW w:w="36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</w:t>
            </w:r>
          </w:p>
        </w:tc>
        <w:tc>
          <w:tcPr>
            <w:tcW w:w="31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0.00%</w:t>
            </w: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6</w:t>
            </w:r>
          </w:p>
        </w:tc>
        <w:tc>
          <w:tcPr>
            <w:tcW w:w="322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可转债</w:t>
            </w:r>
          </w:p>
        </w:tc>
        <w:tc>
          <w:tcPr>
            <w:tcW w:w="36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424,459.99</w:t>
            </w:r>
          </w:p>
        </w:tc>
        <w:tc>
          <w:tcPr>
            <w:tcW w:w="31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0.02%</w:t>
            </w: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7</w:t>
            </w:r>
          </w:p>
        </w:tc>
        <w:tc>
          <w:tcPr>
            <w:tcW w:w="322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其他</w:t>
            </w:r>
          </w:p>
        </w:tc>
        <w:tc>
          <w:tcPr>
            <w:tcW w:w="36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20,085,494.29</w:t>
            </w:r>
          </w:p>
        </w:tc>
        <w:tc>
          <w:tcPr>
            <w:tcW w:w="31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0.87%</w:t>
            </w: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8</w:t>
            </w:r>
          </w:p>
        </w:tc>
        <w:tc>
          <w:tcPr>
            <w:tcW w:w="322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合计</w:t>
            </w:r>
          </w:p>
        </w:tc>
        <w:tc>
          <w:tcPr>
            <w:tcW w:w="36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1,777,332,986.16</w:t>
            </w:r>
          </w:p>
        </w:tc>
        <w:tc>
          <w:tcPr>
            <w:tcW w:w="31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77.06%</w:t>
            </w: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18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</w:tcPr>
          <w:p>
            <w:pPr>
              <w:pStyle w:val="4"/>
            </w:pPr>
          </w:p>
        </w:tc>
        <w:tc>
          <w:tcPr>
            <w:tcW w:w="2000" w:type="dxa"/>
          </w:tcPr>
          <w:p>
            <w:pPr>
              <w:pStyle w:val="4"/>
            </w:pPr>
          </w:p>
        </w:tc>
        <w:tc>
          <w:tcPr>
            <w:tcW w:w="1200" w:type="dxa"/>
            <w:gridSpan w:val="3"/>
          </w:tcPr>
          <w:p>
            <w:pPr>
              <w:pStyle w:val="4"/>
            </w:pP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980" w:type="dxa"/>
          </w:tcPr>
          <w:p>
            <w:pPr>
              <w:pStyle w:val="4"/>
            </w:pPr>
          </w:p>
        </w:tc>
        <w:tc>
          <w:tcPr>
            <w:tcW w:w="2000" w:type="dxa"/>
            <w:gridSpan w:val="2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220" w:type="dxa"/>
          </w:tcPr>
          <w:p>
            <w:pPr>
              <w:pStyle w:val="4"/>
            </w:pPr>
          </w:p>
        </w:tc>
        <w:tc>
          <w:tcPr>
            <w:tcW w:w="1380" w:type="dxa"/>
          </w:tcPr>
          <w:p>
            <w:pPr>
              <w:pStyle w:val="4"/>
            </w:pPr>
          </w:p>
        </w:tc>
        <w:tc>
          <w:tcPr>
            <w:tcW w:w="1700" w:type="dxa"/>
          </w:tcPr>
          <w:p>
            <w:pPr>
              <w:pStyle w:val="4"/>
            </w:pP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3.3 报告期末按市值占产品资产净值比例大小排名前十的资产投资明细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序号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资产代码</w:t>
            </w:r>
          </w:p>
        </w:tc>
        <w:tc>
          <w:tcPr>
            <w:tcW w:w="22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资产名称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数量</w:t>
            </w:r>
          </w:p>
        </w:tc>
        <w:tc>
          <w:tcPr>
            <w:tcW w:w="20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市值(元)</w:t>
            </w: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center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占产品资产净值比例（％）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1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TL1H                            </w:t>
            </w:r>
          </w:p>
        </w:tc>
        <w:tc>
          <w:tcPr>
            <w:tcW w:w="22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华润信托桃李1号单一资金信托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381,048,396.77</w:t>
            </w:r>
          </w:p>
        </w:tc>
        <w:tc>
          <w:tcPr>
            <w:tcW w:w="20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413,188,007.63</w:t>
            </w: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22.44%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2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2205108         </w:t>
            </w:r>
          </w:p>
        </w:tc>
        <w:tc>
          <w:tcPr>
            <w:tcW w:w="22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22湖南债02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100,000,000.00</w:t>
            </w:r>
          </w:p>
        </w:tc>
        <w:tc>
          <w:tcPr>
            <w:tcW w:w="20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102,158,631.51</w:t>
            </w: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5.55%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3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210218          </w:t>
            </w:r>
          </w:p>
        </w:tc>
        <w:tc>
          <w:tcPr>
            <w:tcW w:w="22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21国开18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100,000,000.00</w:t>
            </w:r>
          </w:p>
        </w:tc>
        <w:tc>
          <w:tcPr>
            <w:tcW w:w="20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100,946,552.05</w:t>
            </w: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5.48%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4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178835        </w:t>
            </w:r>
          </w:p>
        </w:tc>
        <w:tc>
          <w:tcPr>
            <w:tcW w:w="22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21淹城01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70,000,000.00</w:t>
            </w:r>
          </w:p>
        </w:tc>
        <w:tc>
          <w:tcPr>
            <w:tcW w:w="20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71,753,797.26</w:t>
            </w: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3.90%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5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</w:p>
        </w:tc>
        <w:tc>
          <w:tcPr>
            <w:tcW w:w="22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回购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77,700,000.00</w:t>
            </w:r>
          </w:p>
        </w:tc>
        <w:tc>
          <w:tcPr>
            <w:tcW w:w="20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71,022,590.33</w:t>
            </w: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3.86%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6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196298        </w:t>
            </w:r>
          </w:p>
        </w:tc>
        <w:tc>
          <w:tcPr>
            <w:tcW w:w="22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22盐南01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50,000,000.00</w:t>
            </w:r>
          </w:p>
        </w:tc>
        <w:tc>
          <w:tcPr>
            <w:tcW w:w="20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52,155,068.50</w:t>
            </w: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2.83%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7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178876        </w:t>
            </w:r>
          </w:p>
        </w:tc>
        <w:tc>
          <w:tcPr>
            <w:tcW w:w="22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21绿投01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50,000,000.00</w:t>
            </w:r>
          </w:p>
        </w:tc>
        <w:tc>
          <w:tcPr>
            <w:tcW w:w="20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51,326,027.40</w:t>
            </w: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2.79%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8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032191446       </w:t>
            </w:r>
          </w:p>
        </w:tc>
        <w:tc>
          <w:tcPr>
            <w:tcW w:w="22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21绍兴柯桥PPN002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50,000,000.00</w:t>
            </w:r>
          </w:p>
        </w:tc>
        <w:tc>
          <w:tcPr>
            <w:tcW w:w="20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50,091,014.73</w:t>
            </w: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2.72%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0" w:hRule="atLeast"/>
        </w:trPr>
        <w:tc>
          <w:tcPr>
            <w:tcW w:w="1" w:type="dxa"/>
          </w:tcPr>
          <w:p>
            <w:pPr>
              <w:pStyle w:val="4"/>
              <w:pageBreakBefore/>
            </w:pPr>
            <w:bookmarkStart w:id="2" w:name="JR_PAGE_ANCHOR_0_3"/>
            <w:bookmarkEnd w:id="2"/>
          </w:p>
        </w:tc>
        <w:tc>
          <w:tcPr>
            <w:tcW w:w="800" w:type="dxa"/>
          </w:tcPr>
          <w:p>
            <w:pPr>
              <w:pStyle w:val="4"/>
            </w:pPr>
          </w:p>
        </w:tc>
        <w:tc>
          <w:tcPr>
            <w:tcW w:w="2000" w:type="dxa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1800" w:type="dxa"/>
            <w:gridSpan w:val="4"/>
          </w:tcPr>
          <w:p>
            <w:pPr>
              <w:pStyle w:val="4"/>
            </w:pPr>
          </w:p>
        </w:tc>
        <w:tc>
          <w:tcPr>
            <w:tcW w:w="1600" w:type="dxa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2000" w:type="dxa"/>
            <w:gridSpan w:val="3"/>
          </w:tcPr>
          <w:p>
            <w:pPr>
              <w:pStyle w:val="4"/>
            </w:pPr>
          </w:p>
        </w:tc>
        <w:tc>
          <w:tcPr>
            <w:tcW w:w="1700" w:type="dxa"/>
          </w:tcPr>
          <w:p>
            <w:pPr>
              <w:pStyle w:val="4"/>
            </w:pP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9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160404          </w:t>
            </w:r>
          </w:p>
        </w:tc>
        <w:tc>
          <w:tcPr>
            <w:tcW w:w="22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16农发04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40,000,000.00</w:t>
            </w:r>
          </w:p>
        </w:tc>
        <w:tc>
          <w:tcPr>
            <w:tcW w:w="20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41,318,968.22</w:t>
            </w: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2.24%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10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032100467       </w:t>
            </w:r>
          </w:p>
        </w:tc>
        <w:tc>
          <w:tcPr>
            <w:tcW w:w="22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21溧水城建PPN003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40,000,000.00</w:t>
            </w:r>
          </w:p>
        </w:tc>
        <w:tc>
          <w:tcPr>
            <w:tcW w:w="20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41,250,441.78</w:t>
            </w: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2.24%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</w:tcPr>
          <w:p>
            <w:pPr>
              <w:pStyle w:val="4"/>
            </w:pPr>
          </w:p>
        </w:tc>
        <w:tc>
          <w:tcPr>
            <w:tcW w:w="2000" w:type="dxa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1800" w:type="dxa"/>
            <w:gridSpan w:val="4"/>
          </w:tcPr>
          <w:p>
            <w:pPr>
              <w:pStyle w:val="4"/>
            </w:pPr>
          </w:p>
        </w:tc>
        <w:tc>
          <w:tcPr>
            <w:tcW w:w="1600" w:type="dxa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2000" w:type="dxa"/>
            <w:gridSpan w:val="3"/>
          </w:tcPr>
          <w:p>
            <w:pPr>
              <w:pStyle w:val="4"/>
            </w:pPr>
          </w:p>
        </w:tc>
        <w:tc>
          <w:tcPr>
            <w:tcW w:w="1700" w:type="dxa"/>
          </w:tcPr>
          <w:p>
            <w:pPr>
              <w:pStyle w:val="4"/>
            </w:pP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3.4 报告期末资产组合流动性风险分析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32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流动性资产市值（元）</w:t>
            </w:r>
          </w:p>
        </w:tc>
        <w:tc>
          <w:tcPr>
            <w:tcW w:w="34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产品资产净值（元）</w:t>
            </w:r>
          </w:p>
        </w:tc>
        <w:tc>
          <w:tcPr>
            <w:tcW w:w="41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流动性资产占比（%）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32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center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123,854,383.17</w:t>
            </w:r>
          </w:p>
        </w:tc>
        <w:tc>
          <w:tcPr>
            <w:tcW w:w="34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default" w:eastAsia="原版宋体"/>
                <w:lang w:val="en-US" w:eastAsia="zh-CN"/>
              </w:rPr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1,841,252,7</w:t>
            </w:r>
            <w:r>
              <w:rPr>
                <w:rFonts w:hint="eastAsia" w:ascii="原版宋体" w:hAnsi="原版宋体" w:eastAsia="原版宋体" w:cs="原版宋体"/>
                <w:color w:val="000000"/>
                <w:sz w:val="20"/>
                <w:lang w:val="en-US" w:eastAsia="zh-CN"/>
              </w:rPr>
              <w:t>50.03</w:t>
            </w:r>
          </w:p>
        </w:tc>
        <w:tc>
          <w:tcPr>
            <w:tcW w:w="41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center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6.73%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8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</w:tcPr>
          <w:p>
            <w:pPr>
              <w:pStyle w:val="4"/>
            </w:pPr>
          </w:p>
        </w:tc>
        <w:tc>
          <w:tcPr>
            <w:tcW w:w="2000" w:type="dxa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1800" w:type="dxa"/>
            <w:gridSpan w:val="4"/>
          </w:tcPr>
          <w:p>
            <w:pPr>
              <w:pStyle w:val="4"/>
            </w:pPr>
          </w:p>
        </w:tc>
        <w:tc>
          <w:tcPr>
            <w:tcW w:w="1600" w:type="dxa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2000" w:type="dxa"/>
            <w:gridSpan w:val="3"/>
          </w:tcPr>
          <w:p>
            <w:pPr>
              <w:pStyle w:val="4"/>
            </w:pPr>
          </w:p>
        </w:tc>
        <w:tc>
          <w:tcPr>
            <w:tcW w:w="1700" w:type="dxa"/>
          </w:tcPr>
          <w:p>
            <w:pPr>
              <w:pStyle w:val="4"/>
            </w:pP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2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报告期内，产品管理人通过合理安排资产配置结构，保持一定比例的高流动性资产，控制资产久期、杠杆融资比例，管控产品流动性风险。持仓中利率债和中高等级信用债占比较高，对于关键时点的规模变动和资金面波动都有充足的准备，且融资渠道畅通多元，风险总体可控。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88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</w:tcPr>
          <w:p>
            <w:pPr>
              <w:pStyle w:val="4"/>
            </w:pPr>
          </w:p>
        </w:tc>
        <w:tc>
          <w:tcPr>
            <w:tcW w:w="2000" w:type="dxa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1800" w:type="dxa"/>
            <w:gridSpan w:val="4"/>
          </w:tcPr>
          <w:p>
            <w:pPr>
              <w:pStyle w:val="4"/>
            </w:pPr>
          </w:p>
        </w:tc>
        <w:tc>
          <w:tcPr>
            <w:tcW w:w="1600" w:type="dxa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2000" w:type="dxa"/>
            <w:gridSpan w:val="3"/>
          </w:tcPr>
          <w:p>
            <w:pPr>
              <w:pStyle w:val="4"/>
            </w:pPr>
          </w:p>
        </w:tc>
        <w:tc>
          <w:tcPr>
            <w:tcW w:w="1700" w:type="dxa"/>
          </w:tcPr>
          <w:p>
            <w:pPr>
              <w:pStyle w:val="4"/>
            </w:pP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spacing w:before="0" w:after="0" w:line="360" w:lineRule="auto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江苏张家港农村商业银行股份有限公司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spacing w:before="0" w:after="0" w:line="360" w:lineRule="auto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2022年12月31日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</w:tbl>
    <w:p/>
    <w:sectPr>
      <w:pgSz w:w="13900" w:h="16840"/>
      <w:pgMar w:top="800" w:right="1200" w:bottom="440" w:left="1200" w:header="0" w:footer="0" w:gutter="0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SansSerif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原版宋体">
    <w:altName w:val="宋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trackRevisions w:val="1"/>
  <w:documentProtection w:enforcement="0"/>
  <w:defaultTabStop w:val="800"/>
  <w:compat>
    <w:useFELayout/>
    <w:splitPgBreakAndParaMark/>
    <w:compatSetting w:name="compatibilityMode" w:uri="http://schemas.microsoft.com/office/word" w:val="12"/>
  </w:compat>
  <w:rsids>
    <w:rsidRoot w:val="00000000"/>
    <w:rsid w:val="086E450C"/>
    <w:rsid w:val="0AF14F99"/>
    <w:rsid w:val="1B7F618C"/>
    <w:rsid w:val="511B3503"/>
    <w:rsid w:val="79DC4433"/>
    <w:rsid w:val="7E1A21C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sz w:val="21"/>
      <w:szCs w:val="22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EMPTY_CELL_STYLE"/>
    <w:qFormat/>
    <w:uiPriority w:val="0"/>
    <w:pPr>
      <w:spacing w:line="240" w:lineRule="auto"/>
    </w:pPr>
    <w:rPr>
      <w:rFonts w:ascii="SansSerif" w:hAnsi="SansSerif" w:eastAsia="SansSerif" w:cs="SansSerif"/>
      <w:color w:val="000000"/>
      <w:sz w:val="1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otalTime>19</TotalTime>
  <ScaleCrop>false</ScaleCrop>
  <LinksUpToDate>false</LinksUpToDate>
  <Application>WPS Office_11.8.2.8696_F1E327BC-269C-435d-A152-05C5408002CA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2023-03-16T08:09:00Z</dcterms:created>
  <dc:creator>ZRC</dc:creator>
  <cp:lastModifiedBy>ZRC</cp:lastModifiedBy>
  <dcterms:modified xsi:type="dcterms:W3CDTF">2023-03-28T02:28:56Z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