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501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1"/>
        <w:gridCol w:w="800"/>
        <w:gridCol w:w="2000"/>
        <w:gridCol w:w="400"/>
        <w:gridCol w:w="400"/>
        <w:gridCol w:w="400"/>
        <w:gridCol w:w="20"/>
        <w:gridCol w:w="980"/>
        <w:gridCol w:w="1600"/>
        <w:gridCol w:w="400"/>
        <w:gridCol w:w="400"/>
        <w:gridCol w:w="220"/>
        <w:gridCol w:w="1380"/>
        <w:gridCol w:w="1700"/>
        <w:gridCol w:w="20"/>
        <w:gridCol w:w="780"/>
      </w:tblGrid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</w:pPr>
            <w:bookmarkStart w:id="0" w:name="JR_PAGE_ANCHOR_0_1"/>
            <w:bookmarkEnd w:id="0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240" w:lineRule="auto"/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“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40"/>
                <w:lang w:val="en-US" w:eastAsia="zh-CN"/>
              </w:rPr>
              <w:t>金港湾·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40"/>
              </w:rPr>
              <w:t>悠享周开1号”定期报告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产品管理人：江苏张家港农村商业银行股份有限公司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产品托管人：招商银行股份有限公司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发布时间：2022年09月30日</w:t>
            </w:r>
            <w:bookmarkStart w:id="3" w:name="_GoBack"/>
            <w:bookmarkEnd w:id="3"/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1  重要提示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产品的过往业绩并不代表其未来表现。投资有风险，投资者在作出投资决策前应仔细阅读本产品说明书。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本报告中财务资料未经审计。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本报告期自2022年07月01日起至09月30日止。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2  产品概况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产品名称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  <w:rPr>
                <w:rFonts w:hint="default" w:eastAsia="原版宋体"/>
                <w:lang w:val="en-US" w:eastAsia="zh-CN"/>
              </w:rPr>
            </w:pP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金港湾·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悠享周开1号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净值型人民币理财产品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YX07D001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全国银行业理财信息登记系统编码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C1115619000092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产品运作方式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开放式净值型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产品类型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固定收益类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募集方式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公募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报告期末产品份额总额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1,117,942,000.00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1.0003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报告期末累计单位净值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1.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0969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6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报告期末净值增长率（年化）</w:t>
            </w:r>
          </w:p>
        </w:tc>
        <w:tc>
          <w:tcPr>
            <w:tcW w:w="7100" w:type="dxa"/>
            <w:gridSpan w:val="9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2.5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262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800" w:type="dxa"/>
            <w:gridSpan w:val="3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3300" w:type="dxa"/>
            <w:gridSpan w:val="3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3  资产组合报告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3.1 报告期末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资产组合情况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项目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固定收益投资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1,113,389,123.8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99.53%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其中:银行间/交易所产品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1,113,389,123.8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7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99.53%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  其中：回购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1" w:name="JR_PAGE_ANCHOR_0_2"/>
            <w:bookmarkEnd w:id="1"/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非银行间/非交易所产品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银行存款合计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5,274,699.39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0.47%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其他资产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00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1,118,663,823.2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6</w:t>
            </w:r>
          </w:p>
        </w:tc>
        <w:tc>
          <w:tcPr>
            <w:tcW w:w="33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100.00%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7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3.2 报告期末按债券品种分类的债券投资组合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债券品种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金额（元）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占资产组合比例（%）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国家债券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央行票据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金融债券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191,714,402.88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17.14%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其中：政策性金融债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121,656,734.11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10.88%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企业债券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889,503,305.9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79.51%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企业短期融资券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可转债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0.00%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其他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32,171,415.09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2.88%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8</w:t>
            </w:r>
          </w:p>
        </w:tc>
        <w:tc>
          <w:tcPr>
            <w:tcW w:w="322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合计</w:t>
            </w:r>
          </w:p>
        </w:tc>
        <w:tc>
          <w:tcPr>
            <w:tcW w:w="36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1,113,389,123.88</w:t>
            </w:r>
          </w:p>
        </w:tc>
        <w:tc>
          <w:tcPr>
            <w:tcW w:w="31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99.53%</w:t>
            </w: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1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</w:tcPr>
          <w:p>
            <w:pPr>
              <w:pStyle w:val="4"/>
            </w:pPr>
          </w:p>
        </w:tc>
        <w:tc>
          <w:tcPr>
            <w:tcW w:w="2000" w:type="dxa"/>
          </w:tcPr>
          <w:p>
            <w:pPr>
              <w:pStyle w:val="4"/>
            </w:pPr>
          </w:p>
        </w:tc>
        <w:tc>
          <w:tcPr>
            <w:tcW w:w="1200" w:type="dxa"/>
            <w:gridSpan w:val="3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980" w:type="dxa"/>
          </w:tcPr>
          <w:p>
            <w:pPr>
              <w:pStyle w:val="4"/>
            </w:pPr>
          </w:p>
        </w:tc>
        <w:tc>
          <w:tcPr>
            <w:tcW w:w="2000" w:type="dxa"/>
            <w:gridSpan w:val="2"/>
          </w:tcPr>
          <w:p>
            <w:pPr>
              <w:pStyle w:val="4"/>
            </w:pPr>
          </w:p>
        </w:tc>
        <w:tc>
          <w:tcPr>
            <w:tcW w:w="400" w:type="dxa"/>
          </w:tcPr>
          <w:p>
            <w:pPr>
              <w:pStyle w:val="4"/>
            </w:pPr>
          </w:p>
        </w:tc>
        <w:tc>
          <w:tcPr>
            <w:tcW w:w="220" w:type="dxa"/>
          </w:tcPr>
          <w:p>
            <w:pPr>
              <w:pStyle w:val="4"/>
            </w:pPr>
          </w:p>
        </w:tc>
        <w:tc>
          <w:tcPr>
            <w:tcW w:w="1380" w:type="dxa"/>
          </w:tcPr>
          <w:p>
            <w:pPr>
              <w:pStyle w:val="4"/>
            </w:pPr>
          </w:p>
        </w:tc>
        <w:tc>
          <w:tcPr>
            <w:tcW w:w="1700" w:type="dxa"/>
          </w:tcPr>
          <w:p>
            <w:pPr>
              <w:pStyle w:val="4"/>
            </w:pP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3.3 报告期末按市值占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资产净值比例大小排名前十的资产投资明细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序号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资产代码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资产名称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数量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市值(元)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占</w:t>
            </w: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资产净值比例（％）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210207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21国开07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51,122,566.44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4.57%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2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200202  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20国开02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50,430,990.41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4.51%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3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112206132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22交通银行CD132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50,000,000.00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49,406,455.89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4.42%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4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162094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19锡山02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31,667,112.95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2.83%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5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101901018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19嘉兴现代MTN001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31,122,496.85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6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162609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19农副01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31,082,457.85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7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032191335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21如皋交通PPN003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31,081,540.07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2.78%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8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032100065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21富阳交通PPN001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30,896,470.89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9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196169 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22高新D1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30,858,082.19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10</w:t>
            </w:r>
          </w:p>
        </w:tc>
        <w:tc>
          <w:tcPr>
            <w:tcW w:w="20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032100189       </w:t>
            </w:r>
          </w:p>
        </w:tc>
        <w:tc>
          <w:tcPr>
            <w:tcW w:w="22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21富阳城投PPN001</w:t>
            </w:r>
          </w:p>
        </w:tc>
        <w:tc>
          <w:tcPr>
            <w:tcW w:w="200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30,000,000.00</w:t>
            </w:r>
          </w:p>
        </w:tc>
        <w:tc>
          <w:tcPr>
            <w:tcW w:w="20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4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30,846,471.58</w:t>
            </w:r>
          </w:p>
        </w:tc>
        <w:tc>
          <w:tcPr>
            <w:tcW w:w="17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ind w:right="160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2.76%</w:t>
            </w:r>
          </w:p>
        </w:tc>
        <w:tc>
          <w:tcPr>
            <w:tcW w:w="20" w:type="dxa"/>
          </w:tcPr>
          <w:p>
            <w:pPr>
              <w:pStyle w:val="4"/>
            </w:pPr>
          </w:p>
        </w:tc>
        <w:tc>
          <w:tcPr>
            <w:tcW w:w="780" w:type="dxa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0" w:hRule="atLeast"/>
        </w:trPr>
        <w:tc>
          <w:tcPr>
            <w:tcW w:w="1" w:type="dxa"/>
          </w:tcPr>
          <w:p>
            <w:pPr>
              <w:pStyle w:val="4"/>
              <w:pageBreakBefore/>
            </w:pPr>
            <w:bookmarkStart w:id="2" w:name="JR_PAGE_ANCHOR_0_3"/>
            <w:bookmarkEnd w:id="2"/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3.4 报告期末资产组合流动性风险分析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流动性资产市值（元）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hint="eastAsia" w:ascii="原版宋体" w:hAnsi="原版宋体" w:eastAsia="原版宋体" w:cs="原版宋体"/>
                <w:b/>
                <w:color w:val="000000"/>
                <w:sz w:val="20"/>
                <w:lang w:val="en-US" w:eastAsia="zh-CN"/>
              </w:rPr>
              <w:t>产品</w:t>
            </w: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资产净值（元）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left"/>
            </w:pPr>
            <w:r>
              <w:rPr>
                <w:rFonts w:ascii="原版宋体" w:hAnsi="原版宋体" w:eastAsia="原版宋体" w:cs="原版宋体"/>
                <w:b/>
                <w:color w:val="000000"/>
                <w:sz w:val="20"/>
              </w:rPr>
              <w:t>流动性资产占比（%）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75,808,867.06</w:t>
            </w:r>
          </w:p>
        </w:tc>
        <w:tc>
          <w:tcPr>
            <w:tcW w:w="34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1,118,224,919.8</w:t>
            </w:r>
            <w:r>
              <w:rPr>
                <w:rFonts w:hint="eastAsia" w:ascii="原版宋体" w:hAnsi="原版宋体" w:eastAsia="原版宋体" w:cs="原版宋体"/>
                <w:color w:val="000000"/>
                <w:sz w:val="20"/>
                <w:lang w:val="en-US" w:eastAsia="zh-CN"/>
              </w:rPr>
              <w:t>5</w:t>
            </w:r>
          </w:p>
        </w:tc>
        <w:tc>
          <w:tcPr>
            <w:tcW w:w="4100" w:type="dxa"/>
            <w:gridSpan w:val="5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0" w:type="dxa"/>
              <w:left w:w="8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6.78%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2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before="0" w:after="0" w:line="360" w:lineRule="auto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 xml:space="preserve">    报告期内，产品管理人通过合理安排资产配置结构，保持一定比例的高流动性资产，控制资产久期、杠杆融资比例，管控产品流动性风险。持仓中利率债和中高等级信用债占比较高，对于关键时点的规模变动和资金面波动都有充足的准备，且融资渠道畅通多元，风险总体可控。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8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3200" w:type="dxa"/>
            <w:gridSpan w:val="3"/>
          </w:tcPr>
          <w:p>
            <w:pPr>
              <w:pStyle w:val="4"/>
            </w:pPr>
          </w:p>
        </w:tc>
        <w:tc>
          <w:tcPr>
            <w:tcW w:w="3400" w:type="dxa"/>
            <w:gridSpan w:val="5"/>
          </w:tcPr>
          <w:p>
            <w:pPr>
              <w:pStyle w:val="4"/>
            </w:pPr>
          </w:p>
        </w:tc>
        <w:tc>
          <w:tcPr>
            <w:tcW w:w="4100" w:type="dxa"/>
            <w:gridSpan w:val="5"/>
          </w:tcPr>
          <w:p>
            <w:pPr>
              <w:pStyle w:val="4"/>
            </w:pP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江苏张家港农村商业银行股份有限公司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  <w:tr>
        <w:tblPrEx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400" w:hRule="exact"/>
        </w:trPr>
        <w:tc>
          <w:tcPr>
            <w:tcW w:w="1" w:type="dxa"/>
          </w:tcPr>
          <w:p>
            <w:pPr>
              <w:pStyle w:val="4"/>
            </w:pPr>
          </w:p>
        </w:tc>
        <w:tc>
          <w:tcPr>
            <w:tcW w:w="10700" w:type="dxa"/>
            <w:gridSpan w:val="13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spacing w:before="0" w:after="0" w:line="360" w:lineRule="auto"/>
              <w:jc w:val="right"/>
            </w:pPr>
            <w:r>
              <w:rPr>
                <w:rFonts w:ascii="原版宋体" w:hAnsi="原版宋体" w:eastAsia="原版宋体" w:cs="原版宋体"/>
                <w:color w:val="000000"/>
                <w:sz w:val="20"/>
              </w:rPr>
              <w:t>2022年09月30日</w:t>
            </w:r>
          </w:p>
        </w:tc>
        <w:tc>
          <w:tcPr>
            <w:tcW w:w="800" w:type="dxa"/>
            <w:gridSpan w:val="2"/>
          </w:tcPr>
          <w:p>
            <w:pPr>
              <w:pStyle w:val="4"/>
            </w:pPr>
          </w:p>
        </w:tc>
      </w:tr>
    </w:tbl>
    <w:p/>
    <w:sectPr>
      <w:pgSz w:w="13900" w:h="16840"/>
      <w:pgMar w:top="800" w:right="1200" w:bottom="440" w:left="1200" w:header="0" w:footer="0" w:gutter="0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原版宋体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trackRevisions w:val="1"/>
  <w:documentProtection w:enforcement="0"/>
  <w:defaultTabStop w:val="800"/>
  <w:compat>
    <w:useFELayout/>
    <w:splitPgBreakAndParaMark/>
    <w:compatSetting w:name="compatibilityMode" w:uri="http://schemas.microsoft.com/office/word" w:val="12"/>
  </w:compat>
  <w:rsids>
    <w:rsidRoot w:val="00000000"/>
    <w:rsid w:val="098C1445"/>
    <w:rsid w:val="11C11DA8"/>
    <w:rsid w:val="1CAB4FD8"/>
    <w:rsid w:val="1D7E5D93"/>
    <w:rsid w:val="1FEB613A"/>
    <w:rsid w:val="24A0511E"/>
    <w:rsid w:val="30947349"/>
    <w:rsid w:val="375F6EDA"/>
    <w:rsid w:val="42D62DFE"/>
    <w:rsid w:val="5E527EBD"/>
    <w:rsid w:val="648E260F"/>
    <w:rsid w:val="77BF6F21"/>
    <w:rsid w:val="7A2433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EMPTY_CELL_STYLE"/>
    <w:qFormat/>
    <w:uiPriority w:val="0"/>
    <w:pPr>
      <w:spacing w:line="240" w:lineRule="auto"/>
    </w:pPr>
    <w:rPr>
      <w:rFonts w:ascii="SansSerif" w:hAnsi="SansSerif" w:eastAsia="SansSerif" w:cs="SansSerif"/>
      <w:color w:val="000000"/>
      <w:sz w:val="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Office_11.8.2.8696_F1E327BC-269C-435d-A152-05C5408002CA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2022-10-10T01:41:00Z</dcterms:created>
  <dc:creator>ZRC</dc:creator>
  <cp:lastModifiedBy>ZRC</cp:lastModifiedBy>
  <dcterms:modified xsi:type="dcterms:W3CDTF">2022-10-12T07:38:27Z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