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1150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3400"/>
        <w:gridCol w:w="200"/>
        <w:gridCol w:w="71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  <w:vAlign w:val="top"/>
          </w:tcPr>
          <w:p>
            <w:pPr>
              <w:pStyle w:val="7"/>
            </w:pPr>
            <w:bookmarkStart w:id="0" w:name="JR_PAGE_ANCHOR_0_1"/>
            <w:bookmarkEnd w:id="0"/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理财业务2022年三季度报</w:t>
            </w:r>
            <w:bookmarkStart w:id="1" w:name="_GoBack"/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告</w:t>
            </w:r>
            <w:bookmarkEnd w:id="1"/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3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年0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月01日起至0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日止。</w:t>
            </w: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3400" w:type="dxa"/>
            <w:vAlign w:val="top"/>
          </w:tcPr>
          <w:p>
            <w:pPr>
              <w:pStyle w:val="7"/>
            </w:pPr>
          </w:p>
        </w:tc>
        <w:tc>
          <w:tcPr>
            <w:tcW w:w="200" w:type="dxa"/>
            <w:vAlign w:val="top"/>
          </w:tcPr>
          <w:p>
            <w:pPr>
              <w:pStyle w:val="7"/>
            </w:pPr>
          </w:p>
        </w:tc>
        <w:tc>
          <w:tcPr>
            <w:tcW w:w="7100" w:type="dxa"/>
            <w:vAlign w:val="top"/>
          </w:tcPr>
          <w:p>
            <w:pPr>
              <w:pStyle w:val="7"/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10" w:hRule="exact"/>
        </w:trPr>
        <w:tc>
          <w:tcPr>
            <w:tcW w:w="1" w:type="dxa"/>
            <w:vAlign w:val="top"/>
          </w:tcPr>
          <w:p>
            <w:pPr>
              <w:pStyle w:val="7"/>
            </w:pPr>
          </w:p>
        </w:tc>
        <w:tc>
          <w:tcPr>
            <w:tcW w:w="1070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</w:pPr>
            <w:r>
              <w:rPr>
                <w:rFonts w:ascii="原版宋体" w:hAnsi="原版宋体" w:eastAsia="原版宋体" w:cs="原版宋体"/>
                <w:b w:val="0"/>
                <w:bCs/>
                <w:color w:val="000000"/>
                <w:sz w:val="20"/>
              </w:rPr>
              <w:t xml:space="preserve">2  </w:t>
            </w:r>
            <w:r>
              <w:rPr>
                <w:rFonts w:hint="eastAsia" w:ascii="原版宋体" w:hAnsi="原版宋体" w:eastAsia="原版宋体" w:cs="原版宋体"/>
                <w:b w:val="0"/>
                <w:bCs/>
                <w:color w:val="000000"/>
                <w:sz w:val="20"/>
                <w:lang w:eastAsia="zh-CN"/>
              </w:rPr>
              <w:t>当期理财产品发行情况</w:t>
            </w: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  <w:p>
            <w:pPr>
              <w:spacing w:before="0" w:after="0" w:line="360" w:lineRule="auto"/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eastAsia="zh-CN"/>
              </w:rPr>
            </w:pPr>
          </w:p>
        </w:tc>
        <w:tc>
          <w:tcPr>
            <w:tcW w:w="800" w:type="dxa"/>
            <w:vAlign w:val="top"/>
          </w:tcPr>
          <w:p>
            <w:pPr>
              <w:pStyle w:val="7"/>
            </w:pPr>
          </w:p>
        </w:tc>
      </w:tr>
    </w:tbl>
    <w:p>
      <w:pPr>
        <w:pStyle w:val="2"/>
        <w:spacing w:before="5"/>
        <w:rPr>
          <w:rFonts w:hint="eastAsia" w:ascii="宋体" w:hAnsi="宋体" w:eastAsia="宋体" w:cs="宋体"/>
          <w:sz w:val="14"/>
        </w:rPr>
      </w:pPr>
    </w:p>
    <w:tbl>
      <w:tblPr>
        <w:tblStyle w:val="5"/>
        <w:tblW w:w="11487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09"/>
        <w:gridCol w:w="2535"/>
        <w:gridCol w:w="504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新发产品数量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800" w:firstLineChars="4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b w:val="0"/>
                <w:bCs w:val="0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1823160.50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2" w:lineRule="exact"/>
              <w:ind w:right="0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44950.00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1868110.50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8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1868110.50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09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35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</w:t>
            </w:r>
          </w:p>
        </w:tc>
        <w:tc>
          <w:tcPr>
            <w:tcW w:w="5043" w:type="dxa"/>
            <w:noWrap w:val="0"/>
            <w:vAlign w:val="top"/>
          </w:tcPr>
          <w:p>
            <w:pPr>
              <w:pStyle w:val="9"/>
              <w:spacing w:before="0" w:line="297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1868110.50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3  当期理财产品到期情况</w:t>
      </w:r>
    </w:p>
    <w:p>
      <w:pPr>
        <w:pStyle w:val="2"/>
        <w:spacing w:before="4" w:after="1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1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61"/>
        <w:gridCol w:w="2567"/>
        <w:gridCol w:w="49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5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到期产品数量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1" w:firstLine="600" w:firstLineChars="300"/>
              <w:jc w:val="lef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金额（万元）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1816412.60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tabs>
                <w:tab w:val="left" w:pos="1701"/>
              </w:tabs>
              <w:spacing w:before="0" w:line="292" w:lineRule="exact"/>
              <w:ind w:left="11" w:leftChars="0" w:right="0" w:righ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1284" w:leftChars="0" w:right="0" w:rightChars="0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2" w:lineRule="exact"/>
              <w:ind w:left="0" w:leftChars="0" w:right="0" w:rightChars="0" w:firstLine="0" w:firstLine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5000.00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2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2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1821412.60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7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1821412.60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2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2" w:line="294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6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6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4" w:lineRule="exact"/>
              <w:ind w:left="129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4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61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1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2567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1284"/>
              <w:jc w:val="both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6</w:t>
            </w:r>
          </w:p>
        </w:tc>
        <w:tc>
          <w:tcPr>
            <w:tcW w:w="4958" w:type="dxa"/>
            <w:noWrap w:val="0"/>
            <w:vAlign w:val="top"/>
          </w:tcPr>
          <w:p>
            <w:pPr>
              <w:pStyle w:val="9"/>
              <w:spacing w:before="0" w:line="297" w:lineRule="exact"/>
              <w:ind w:left="0" w:leftChars="0" w:firstLine="0" w:firstLine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1821412.60</w:t>
            </w:r>
          </w:p>
        </w:tc>
      </w:tr>
    </w:tbl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pStyle w:val="2"/>
        <w:spacing w:before="12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4  期末存续理财产品情况</w:t>
      </w:r>
    </w:p>
    <w:p>
      <w:pPr>
        <w:pStyle w:val="2"/>
        <w:spacing w:before="5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8"/>
        <w:gridCol w:w="1338"/>
        <w:gridCol w:w="2411"/>
        <w:gridCol w:w="1275"/>
        <w:gridCol w:w="1578"/>
        <w:gridCol w:w="1426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</w:tblPrEx>
        <w:trPr>
          <w:trHeight w:val="621" w:hRule="atLeast"/>
        </w:trPr>
        <w:tc>
          <w:tcPr>
            <w:tcW w:w="345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0" w:line="360" w:lineRule="exact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产品类型</w:t>
            </w:r>
          </w:p>
        </w:tc>
        <w:tc>
          <w:tcPr>
            <w:tcW w:w="133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0" w:line="360" w:lineRule="exact"/>
              <w:ind w:left="152" w:right="1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存续产品数量</w:t>
            </w:r>
          </w:p>
        </w:tc>
        <w:tc>
          <w:tcPr>
            <w:tcW w:w="2411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0" w:line="295" w:lineRule="exact"/>
              <w:ind w:left="256" w:right="244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253" w:right="24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（万元）</w:t>
            </w: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0" w:line="295" w:lineRule="exact"/>
              <w:ind w:left="322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</w:t>
            </w:r>
          </w:p>
          <w:p>
            <w:pPr>
              <w:pStyle w:val="9"/>
              <w:spacing w:before="0" w:line="306" w:lineRule="exact"/>
              <w:ind w:left="322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占比</w:t>
            </w:r>
          </w:p>
        </w:tc>
        <w:tc>
          <w:tcPr>
            <w:tcW w:w="15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0" w:line="295" w:lineRule="exact"/>
              <w:ind w:left="135" w:right="13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上期末</w:t>
            </w:r>
          </w:p>
          <w:p>
            <w:pPr>
              <w:pStyle w:val="9"/>
              <w:spacing w:before="0" w:line="306" w:lineRule="exact"/>
              <w:ind w:left="137" w:right="13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金额占比</w:t>
            </w:r>
          </w:p>
        </w:tc>
        <w:tc>
          <w:tcPr>
            <w:tcW w:w="1426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9"/>
              <w:spacing w:before="0" w:line="295" w:lineRule="exact"/>
              <w:ind w:left="14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金额占</w:t>
            </w:r>
          </w:p>
          <w:p>
            <w:pPr>
              <w:pStyle w:val="9"/>
              <w:spacing w:before="0" w:line="306" w:lineRule="exact"/>
              <w:ind w:left="14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比变动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tabs>
                <w:tab w:val="left" w:pos="1698"/>
              </w:tabs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按募集方式：公募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2077949.2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26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95.11%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2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96.87%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-1.7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私募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33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106904.00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281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4.89%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leftChars="0" w:right="281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3.13%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1.7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275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2184853.2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0" w:right="171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4" w:lineRule="exact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按投资性质：固定收益类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52" w:right="144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24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275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2184853.2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26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137" w:right="129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line="279" w:lineRule="exact"/>
              <w:ind w:left="0" w:right="218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权益类</w:t>
            </w:r>
          </w:p>
        </w:tc>
        <w:tc>
          <w:tcPr>
            <w:tcW w:w="13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商品及金融衍生品类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2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混合类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ind w:left="7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ind w:left="7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ind w:left="5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ind w:left="8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3458" w:type="dxa"/>
            <w:vAlign w:val="top"/>
          </w:tcPr>
          <w:p>
            <w:pPr>
              <w:pStyle w:val="9"/>
              <w:spacing w:before="0" w:line="294" w:lineRule="exact"/>
              <w:ind w:left="8" w:leftChars="0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合计</w:t>
            </w:r>
          </w:p>
        </w:tc>
        <w:tc>
          <w:tcPr>
            <w:tcW w:w="1338" w:type="dxa"/>
            <w:vAlign w:val="top"/>
          </w:tcPr>
          <w:p>
            <w:pPr>
              <w:pStyle w:val="9"/>
              <w:spacing w:before="17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24</w:t>
            </w:r>
          </w:p>
        </w:tc>
        <w:tc>
          <w:tcPr>
            <w:tcW w:w="2411" w:type="dxa"/>
            <w:vAlign w:val="top"/>
          </w:tcPr>
          <w:p>
            <w:pPr>
              <w:pStyle w:val="9"/>
              <w:spacing w:before="17"/>
              <w:ind w:right="246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2184853.2</w:t>
            </w:r>
          </w:p>
        </w:tc>
        <w:tc>
          <w:tcPr>
            <w:tcW w:w="1275" w:type="dxa"/>
            <w:vAlign w:val="top"/>
          </w:tcPr>
          <w:p>
            <w:pPr>
              <w:pStyle w:val="9"/>
              <w:spacing w:before="17"/>
              <w:ind w:right="155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578" w:type="dxa"/>
            <w:vAlign w:val="top"/>
          </w:tcPr>
          <w:p>
            <w:pPr>
              <w:pStyle w:val="9"/>
              <w:spacing w:before="17"/>
              <w:ind w:left="137" w:leftChars="0" w:right="129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100.00%</w:t>
            </w:r>
          </w:p>
        </w:tc>
        <w:tc>
          <w:tcPr>
            <w:tcW w:w="1426" w:type="dxa"/>
            <w:vAlign w:val="top"/>
          </w:tcPr>
          <w:p>
            <w:pPr>
              <w:pStyle w:val="9"/>
              <w:spacing w:before="17"/>
              <w:ind w:left="9" w:lef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</w:tbl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spacing w:after="0" w:line="279" w:lineRule="exact"/>
        <w:jc w:val="right"/>
        <w:rPr>
          <w:rFonts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</w:p>
    <w:p>
      <w:pPr>
        <w:spacing w:before="0" w:after="0" w:line="360" w:lineRule="auto"/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highlight w:val="none"/>
          <w:lang w:val="en-US" w:eastAsia="zh-CN" w:bidi="ar-SA"/>
        </w:rPr>
        <w:t>5  理财产品投资资产情况</w:t>
      </w:r>
    </w:p>
    <w:p>
      <w:pPr>
        <w:pStyle w:val="2"/>
        <w:spacing w:before="5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486" w:type="dxa"/>
        <w:tblInd w:w="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57"/>
        <w:gridCol w:w="2590"/>
        <w:gridCol w:w="493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spacing w:before="0" w:beforeLines="0" w:line="292" w:lineRule="exact"/>
              <w:ind w:left="657" w:leftChars="0" w:right="65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资产类别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pStyle w:val="9"/>
              <w:spacing w:before="0" w:beforeLines="0" w:line="292" w:lineRule="exact"/>
              <w:ind w:left="340" w:leftChars="0" w:right="33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金额（万元）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pStyle w:val="9"/>
              <w:ind w:left="392" w:leftChars="0" w:right="272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/>
              </w:rPr>
              <w:t>占比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ind w:left="662" w:leftChars="0" w:right="65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现金及货币市场工具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681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ind w:left="660" w:leftChars="0" w:right="65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债券类资产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514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ind w:left="662" w:leftChars="0" w:right="65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非标准化债权类资产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892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spacing w:before="17" w:beforeLines="0"/>
              <w:ind w:left="662" w:leftChars="0" w:right="654" w:rightChars="0"/>
              <w:jc w:val="center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  <w:t>公募基金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ind w:left="660" w:leftChars="0" w:right="65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资产管理计划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eastAsia="zh-CN" w:bidi="ar"/>
              </w:rPr>
              <w:t>1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822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5.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07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ind w:left="660" w:leftChars="0" w:right="654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权益类投资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ind w:left="662" w:leftChars="0" w:right="653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其他资产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-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3957" w:type="dxa"/>
            <w:noWrap w:val="0"/>
            <w:vAlign w:val="center"/>
          </w:tcPr>
          <w:p>
            <w:pPr>
              <w:pStyle w:val="9"/>
              <w:spacing w:before="0" w:beforeLines="0" w:line="292" w:lineRule="exact"/>
              <w:ind w:left="662" w:leftChars="0" w:right="653" w:rightChars="0"/>
              <w:jc w:val="center"/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bidi="ar-SA"/>
              </w:rPr>
              <w:t>合计</w:t>
            </w:r>
          </w:p>
        </w:tc>
        <w:tc>
          <w:tcPr>
            <w:tcW w:w="2590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原版宋体" w:hAnsi="原版宋体" w:eastAsia="原版宋体" w:cs="原版宋体"/>
                <w:color w:val="000000"/>
                <w:sz w:val="20"/>
                <w:szCs w:val="20"/>
                <w:highlight w:val="none"/>
                <w:lang w:val="en-US" w:eastAsia="zh-CN" w:bidi="ar-SA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539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,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820</w:t>
            </w: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.</w:t>
            </w:r>
            <w:r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493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原版宋体" w:hAnsi="原版宋体" w:eastAsia="原版宋体" w:cs="原版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100.00%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当期理财产品发行情况数据范围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为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报告期内新发行的非保本理财产品、新发产品数量以及在报告期内的非保本理财产品申购数据。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当期理财产品到期情况数据范围为报告期内到期的非保本理财产品、到期产品数量以及在报告期内的非保本理财产品赎回数据。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期末存续理财产品情况数据范围为报告期末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存续的非保本理财产品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理财产品投资资产情况数据范围为</w:t>
      </w:r>
      <w:r>
        <w:rPr>
          <w:rFonts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报告期末存续的</w:t>
      </w:r>
      <w:r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  <w:t>非保本理财产品。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tbl>
      <w:tblPr>
        <w:tblStyle w:val="5"/>
        <w:tblW w:w="115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0700"/>
        <w:gridCol w:w="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江苏张家港农村商业银行股份有限公司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 xml:space="preserve">                  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0700" w:type="dxa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202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年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09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月3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0</w:t>
            </w:r>
            <w:r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  <w:t>日</w:t>
            </w:r>
          </w:p>
        </w:tc>
        <w:tc>
          <w:tcPr>
            <w:tcW w:w="800" w:type="dxa"/>
            <w:vAlign w:val="top"/>
          </w:tcPr>
          <w:p>
            <w:pPr>
              <w:pStyle w:val="7"/>
              <w:rPr>
                <w:rFonts w:ascii="原版宋体" w:hAnsi="原版宋体" w:eastAsia="原版宋体" w:cs="原版宋体"/>
                <w:color w:val="000000"/>
                <w:sz w:val="20"/>
                <w:szCs w:val="22"/>
                <w:lang w:val="en-US" w:eastAsia="zh-CN"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outlineLvl w:val="9"/>
        <w:rPr>
          <w:rFonts w:hint="eastAsia" w:ascii="原版宋体" w:hAnsi="原版宋体" w:eastAsia="原版宋体" w:cs="原版宋体"/>
          <w:color w:val="000000"/>
          <w:sz w:val="20"/>
          <w:szCs w:val="22"/>
          <w:lang w:val="en-US" w:eastAsia="zh-CN" w:bidi="ar-SA"/>
        </w:rPr>
      </w:pPr>
    </w:p>
    <w:sectPr>
      <w:pgSz w:w="13900" w:h="16840"/>
      <w:pgMar w:top="800" w:right="1200" w:bottom="440" w:left="1200" w:header="0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JhengHei">
    <w:panose1 w:val="020B0604030504040204"/>
    <w:charset w:val="88"/>
    <w:family w:val="swiss"/>
    <w:pitch w:val="default"/>
    <w:sig w:usb0="00000087" w:usb1="28AF4000" w:usb2="00000016" w:usb3="00000000" w:csb0="00100009" w:csb1="00000000"/>
  </w:font>
  <w:font w:name="SansSerif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haracterSpacingControl w:val="compressPunctuation"/>
  <w:compat>
    <w:spaceForUL/>
    <w:doNotLeaveBackslashAlone/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cyYzY3Y2RhYjgxNzRhMjA1YTUyOGM1NDY2N2IxZGEifQ=="/>
  </w:docVars>
  <w:rsids>
    <w:rsidRoot w:val="00000000"/>
    <w:rsid w:val="02A94B43"/>
    <w:rsid w:val="035805A7"/>
    <w:rsid w:val="039F0380"/>
    <w:rsid w:val="04762B07"/>
    <w:rsid w:val="084A00DD"/>
    <w:rsid w:val="102041E1"/>
    <w:rsid w:val="1186439A"/>
    <w:rsid w:val="13942C9C"/>
    <w:rsid w:val="14B513F7"/>
    <w:rsid w:val="15F6702F"/>
    <w:rsid w:val="1B0D4720"/>
    <w:rsid w:val="21F76EA6"/>
    <w:rsid w:val="247A6C69"/>
    <w:rsid w:val="285813C2"/>
    <w:rsid w:val="28CC1C2B"/>
    <w:rsid w:val="28CD461A"/>
    <w:rsid w:val="296A63E6"/>
    <w:rsid w:val="2ADD3208"/>
    <w:rsid w:val="2B7523B9"/>
    <w:rsid w:val="2BE961CF"/>
    <w:rsid w:val="31E622EC"/>
    <w:rsid w:val="34B37548"/>
    <w:rsid w:val="37F93F3B"/>
    <w:rsid w:val="3AA711E3"/>
    <w:rsid w:val="3B6701C1"/>
    <w:rsid w:val="3D7E3F2F"/>
    <w:rsid w:val="3DEC3823"/>
    <w:rsid w:val="40DB5A21"/>
    <w:rsid w:val="40F75724"/>
    <w:rsid w:val="42CC11D8"/>
    <w:rsid w:val="4A681179"/>
    <w:rsid w:val="4B3717A7"/>
    <w:rsid w:val="4DA42F89"/>
    <w:rsid w:val="4DA54097"/>
    <w:rsid w:val="4F4D2DF8"/>
    <w:rsid w:val="4FA76C26"/>
    <w:rsid w:val="509756AA"/>
    <w:rsid w:val="52F923C0"/>
    <w:rsid w:val="56954F97"/>
    <w:rsid w:val="57834862"/>
    <w:rsid w:val="60275C73"/>
    <w:rsid w:val="61A54438"/>
    <w:rsid w:val="627D22E4"/>
    <w:rsid w:val="629403B9"/>
    <w:rsid w:val="672C2B8A"/>
    <w:rsid w:val="68AA27AD"/>
    <w:rsid w:val="6ABD2B40"/>
    <w:rsid w:val="74950010"/>
    <w:rsid w:val="756B1982"/>
    <w:rsid w:val="76217454"/>
    <w:rsid w:val="7800506C"/>
    <w:rsid w:val="78C84AEA"/>
    <w:rsid w:val="79DC71FB"/>
    <w:rsid w:val="A7DDDA40"/>
    <w:rsid w:val="FBCEE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sz w:val="21"/>
      <w:szCs w:val="22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Microsoft JhengHei" w:hAnsi="Microsoft JhengHei" w:eastAsia="Microsoft JhengHei" w:cs="Microsoft JhengHei"/>
      <w:b/>
      <w:bCs/>
      <w:sz w:val="24"/>
      <w:szCs w:val="24"/>
      <w:lang w:val="zh-CN" w:eastAsia="zh-CN" w:bidi="zh-CN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  <w:lang w:val="en-US" w:eastAsia="zh-CN" w:bidi="ar-SA"/>
    </w:rPr>
  </w:style>
  <w:style w:type="paragraph" w:customStyle="1" w:styleId="8">
    <w:name w:val="List Paragraph"/>
    <w:basedOn w:val="1"/>
    <w:qFormat/>
    <w:uiPriority w:val="1"/>
    <w:pPr>
      <w:ind w:left="840" w:hanging="361"/>
    </w:pPr>
    <w:rPr>
      <w:rFonts w:ascii="Microsoft JhengHei" w:hAnsi="Microsoft JhengHei" w:eastAsia="Microsoft JhengHei" w:cs="Microsoft JhengHei"/>
      <w:lang w:val="zh-CN" w:eastAsia="zh-CN" w:bidi="zh-CN"/>
    </w:rPr>
  </w:style>
  <w:style w:type="paragraph" w:customStyle="1" w:styleId="9">
    <w:name w:val="Table Paragraph"/>
    <w:basedOn w:val="1"/>
    <w:qFormat/>
    <w:uiPriority w:val="1"/>
    <w:pPr>
      <w:spacing w:before="15" w:line="277" w:lineRule="exact"/>
      <w:ind w:left="8"/>
      <w:jc w:val="center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637</Words>
  <Characters>940</Characters>
  <Lines>0</Lines>
  <Paragraphs>0</Paragraphs>
  <TotalTime>1</TotalTime>
  <ScaleCrop>false</ScaleCrop>
  <LinksUpToDate>false</LinksUpToDate>
  <CharactersWithSpaces>982</CharactersWithSpaces>
  <Application>WPS Office_11.8.2.8696_F1E327BC-269C-435d-A152-05C5408002CA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2020-04-03T02:01:00Z</dcterms:created>
  <dc:creator>zrcbank</dc:creator>
  <cp:lastModifiedBy>zrcbank</cp:lastModifiedBy>
  <dcterms:modified xsi:type="dcterms:W3CDTF">2022-10-12T08:10:39Z</dcterms:modified>
  <dc:title>zrcbank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  <property fmtid="{D5CDD505-2E9C-101B-9397-08002B2CF9AE}" pid="3" name="ICV">
    <vt:lpwstr>0E5BD615D4CF470793770DDC04337804</vt:lpwstr>
  </property>
</Properties>
</file>