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1000"/>
        <w:gridCol w:w="1600"/>
        <w:gridCol w:w="400"/>
        <w:gridCol w:w="400"/>
        <w:gridCol w:w="1600"/>
        <w:gridCol w:w="1700"/>
        <w:gridCol w:w="80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“金港湾惠享（私募版）1926期”定期报告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  <w:bookmarkStart w:id="2" w:name="_GoBack"/>
            <w:bookmarkEnd w:id="2"/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发布时间：2022年09月30日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本报告期自2022年07月01日起至09月30日止。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金港湾惠享（私募版）1926期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净值型人民币理财产品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HXSM1926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C1115622A000005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私募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75,100,000.00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1.0120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1.0120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4.1192%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资产组合情况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76,001,917.81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99.87%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76,001,917.81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99.87%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98,943.67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0.13%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76,100,861.48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报告期末按市值占产品资产组合比例大小排名前十的资产投资明细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</w:rPr>
              <w:t>占产品资产组合比例（％）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91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22088722                        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南通高新控股集团有限公司2022年度第二期理财直接融资工具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75,000,000.00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76,001,917.81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99.87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报告期末资产组合流动性风险分析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98,943.67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76,002,640.27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0.13%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2022年09月30日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trackRevisions w:val="1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250D7794"/>
    <w:rsid w:val="27B25F3F"/>
    <w:rsid w:val="2B2904F4"/>
    <w:rsid w:val="6B5E6025"/>
    <w:rsid w:val="6F9172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82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2022-10-18T07:10:00Z</dcterms:created>
  <dc:creator>Zrcbank</dc:creator>
  <cp:lastModifiedBy>ZRC</cp:lastModifiedBy>
  <dcterms:modified xsi:type="dcterms:W3CDTF">2022-10-12T07:36:25Z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