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center"/>
        <w:rPr>
          <w:rFonts w:hint="eastAsia" w:ascii="宋体" w:hAnsi="宋体" w:eastAsia="宋体"/>
          <w:sz w:val="28"/>
          <w:szCs w:val="32"/>
          <w:lang w:eastAsia="zh-CN"/>
        </w:rPr>
      </w:pPr>
      <w:r>
        <w:rPr>
          <w:rFonts w:hint="eastAsia" w:ascii="宋体" w:hAnsi="宋体" w:eastAsia="宋体"/>
          <w:sz w:val="28"/>
          <w:szCs w:val="32"/>
        </w:rPr>
        <w:t>光信·光鑫·鹏程2号集合资金信托计划</w:t>
      </w:r>
      <w:r>
        <w:rPr>
          <w:rFonts w:hint="eastAsia" w:ascii="宋体" w:hAnsi="宋体" w:eastAsia="宋体"/>
          <w:sz w:val="28"/>
          <w:szCs w:val="32"/>
          <w:lang w:eastAsia="zh-CN"/>
        </w:rPr>
        <w:t>募集公告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</w:rPr>
      </w:pPr>
    </w:p>
    <w:tbl>
      <w:tblPr>
        <w:tblW w:w="82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607"/>
        <w:gridCol w:w="2835"/>
        <w:gridCol w:w="1780"/>
      </w:tblGrid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产品名称、合同编号及信托登编码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产品名称：光信·光鑫·鹏程</w:t>
            </w:r>
            <w:r>
              <w:rPr>
                <w:rFonts w:ascii="宋体" w:hAnsi="宋体" w:eastAsia="宋体"/>
                <w:sz w:val="24"/>
                <w:szCs w:val="24"/>
              </w:rPr>
              <w:t>2号集合资金信托计划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(第一期）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信托登记编码：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产品类型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4"/>
                <w:szCs w:val="24"/>
              </w:rPr>
              <w:t>固定收益类集合资金信托计划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风险等级</w:t>
            </w:r>
          </w:p>
        </w:tc>
        <w:tc>
          <w:tcPr>
            <w:tcW w:w="1607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  <w:tc>
          <w:tcPr>
            <w:tcW w:w="2835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信托公司内部风险等级</w:t>
            </w:r>
          </w:p>
        </w:tc>
        <w:tc>
          <w:tcPr>
            <w:tcW w:w="1780" w:type="dxa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R</w:t>
            </w:r>
            <w:r>
              <w:rPr>
                <w:rFonts w:ascii="宋体" w:hAnsi="宋体" w:eastAsia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级中风险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受托管理人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光大兴陇信托有限责任公司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存续期限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tabs>
                <w:tab w:val="left" w:pos="1772"/>
              </w:tabs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1年期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ab/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投资范围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向借款人丹阳市锦泰水利建设发展有限公司发放信托贷款，贷款将用于借款人补充营运资金。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缴纳信托业保障基金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增信措施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丹阳投资集团有限公司对借款人偿还信托贷款本息提供担保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投资起点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人民币1</w:t>
            </w:r>
            <w:r>
              <w:rPr>
                <w:rFonts w:ascii="宋体" w:hAnsi="宋体" w:eastAsia="宋体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万元起，并以1</w:t>
            </w:r>
            <w:r>
              <w:rPr>
                <w:rFonts w:ascii="宋体" w:hAnsi="宋体" w:eastAsia="宋体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万元的整数倍递增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业绩基准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%</w:t>
            </w:r>
            <w:r>
              <w:rPr>
                <w:rFonts w:ascii="宋体" w:hAnsi="宋体" w:eastAsia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代销规模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5000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退出方式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到期退出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投资者费用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无认购、申购、到期赎回费用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推荐部门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投资银行部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时间安排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募集期：2</w:t>
            </w:r>
            <w:r>
              <w:rPr>
                <w:rFonts w:ascii="宋体" w:hAnsi="宋体" w:eastAsia="宋体"/>
                <w:sz w:val="24"/>
                <w:szCs w:val="24"/>
              </w:rPr>
              <w:t>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年6月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12-14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冷静期：2</w:t>
            </w:r>
            <w:r>
              <w:rPr>
                <w:rFonts w:ascii="宋体" w:hAnsi="宋体" w:eastAsia="宋体"/>
                <w:sz w:val="24"/>
                <w:szCs w:val="24"/>
              </w:rPr>
              <w:t>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年6月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起息日：2</w:t>
            </w:r>
            <w:r>
              <w:rPr>
                <w:rFonts w:ascii="宋体" w:hAnsi="宋体" w:eastAsia="宋体"/>
                <w:sz w:val="24"/>
                <w:szCs w:val="24"/>
              </w:rPr>
              <w:t>023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年6月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日；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到期日：2</w:t>
            </w:r>
            <w:r>
              <w:rPr>
                <w:rFonts w:ascii="宋体" w:hAnsi="宋体" w:eastAsia="宋体"/>
                <w:sz w:val="24"/>
                <w:szCs w:val="24"/>
              </w:rPr>
              <w:t>024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年6月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（以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成立公告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要素为准）</w:t>
            </w:r>
          </w:p>
        </w:tc>
      </w:tr>
      <w:tr>
        <w:tc>
          <w:tcPr>
            <w:tcW w:w="2074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222" w:type="dxa"/>
            <w:gridSpan w:val="3"/>
            <w:vAlign w:val="top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本项目由丹阳支行销售，不组织全行的销售工作</w:t>
            </w:r>
          </w:p>
        </w:tc>
      </w:tr>
    </w:tbl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  <w:sz w:val="24"/>
          <w:szCs w:val="28"/>
          <w:lang w:eastAsia="zh-CN"/>
        </w:rPr>
        <w:t>特别</w:t>
      </w:r>
      <w:r>
        <w:rPr>
          <w:rFonts w:hint="eastAsia" w:ascii="宋体" w:hAnsi="宋体" w:eastAsia="宋体"/>
          <w:b/>
          <w:bCs/>
          <w:sz w:val="24"/>
          <w:szCs w:val="28"/>
        </w:rPr>
        <w:t>提示：</w:t>
      </w:r>
      <w:r>
        <w:rPr>
          <w:rFonts w:hint="eastAsia" w:ascii="宋体" w:hAnsi="宋体" w:eastAsia="宋体"/>
        </w:rPr>
        <w:t>本产品由光大兴陇信托有限责任公司发行与管理，张家港农商行作为代销机构不承担产品的投资、兑付和风险管理责任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">
    <w:nsid w:val="0000000A"/>
    <w:multiLevelType w:val="multilevel"/>
    <w:tmpl w:val="0000000A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pPr>
      <w:spacing w:before="1"/>
      <w:ind w:left="120"/>
    </w:pPr>
    <w:rPr>
      <w:sz w:val="24"/>
    </w:rPr>
  </w:style>
  <w:style w:type="paragraph" w:styleId="3">
    <w:name w:val="footer"/>
    <w:basedOn w:val="1"/>
    <w:link w:val="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pPr>
      <w:ind w:firstLine="420" w:firstLineChars="200"/>
    </w:pPr>
  </w:style>
  <w:style w:type="paragraph" w:customStyle="1" w:styleId="7">
    <w:name w:val="Normal (Web)"/>
    <w:basedOn w:val="1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/>
    </w:rPr>
  </w:style>
  <w:style w:type="character" w:customStyle="1" w:styleId="8">
    <w:name w:val="页眉 字符"/>
    <w:basedOn w:val="5"/>
    <w:link w:val="4"/>
    <w:semiHidden/>
    <w:rPr>
      <w:sz w:val="18"/>
      <w:szCs w:val="18"/>
    </w:rPr>
  </w:style>
  <w:style w:type="character" w:customStyle="1" w:styleId="9">
    <w:name w:val="页脚 字符"/>
    <w:basedOn w:val="5"/>
    <w:link w:val="3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461</Characters>
  <Lines>3</Lines>
  <Paragraphs>1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2023-05-25T14:46:00Z</dcterms:created>
  <dc:creator>岳 Young Yue</dc:creator>
  <dcterms:modified xsi:type="dcterms:W3CDTF">2023-06-09T10:07:29Z</dcterms:modified>
  <dc:title>高净值私行客户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4A704CBE99904EA787F611934C8817E9</vt:lpwstr>
  </property>
</Properties>
</file>