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张家港农村商业银行代销兴银理财产品</w:t>
      </w:r>
    </w:p>
    <w:p>
      <w:pPr>
        <w:jc w:val="center"/>
        <w:rPr>
          <w:rFonts w:hint="eastAsia"/>
          <w:b/>
          <w:bCs/>
          <w:sz w:val="44"/>
          <w:szCs w:val="44"/>
          <w:lang w:val="en-US" w:eastAsia="zh-CN"/>
        </w:rPr>
      </w:pPr>
      <w:r>
        <w:rPr>
          <w:rFonts w:hint="eastAsia"/>
          <w:b/>
          <w:bCs/>
          <w:sz w:val="44"/>
          <w:szCs w:val="44"/>
          <w:lang w:val="en-US" w:eastAsia="zh-CN"/>
        </w:rPr>
        <w:t>信息披露说明</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lang w:eastAsia="zh-CN"/>
        </w:rPr>
      </w:pPr>
      <w:r>
        <w:rPr>
          <w:rFonts w:hint="eastAsia" w:ascii="仿宋" w:hAnsi="仿宋" w:eastAsia="仿宋" w:cs="仿宋"/>
          <w:i w:val="0"/>
          <w:iCs w:val="0"/>
          <w:caps w:val="0"/>
          <w:color w:val="auto"/>
          <w:spacing w:val="0"/>
          <w:kern w:val="0"/>
          <w:sz w:val="32"/>
          <w:szCs w:val="32"/>
          <w:shd w:val="clear" w:fill="FFFFFF"/>
          <w:lang w:val="en-US" w:eastAsia="zh-CN" w:bidi="ar"/>
        </w:rPr>
        <w:t>尊敬的客户：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为充分保障投资者权益，方便投资者更便携的了解所关注产品的信息披露情况，现将兴</w:t>
      </w:r>
      <w:bookmarkStart w:id="0" w:name="_GoBack"/>
      <w:bookmarkEnd w:id="0"/>
      <w:r>
        <w:rPr>
          <w:rFonts w:hint="eastAsia" w:ascii="仿宋" w:hAnsi="仿宋" w:eastAsia="仿宋" w:cs="仿宋"/>
          <w:i w:val="0"/>
          <w:iCs w:val="0"/>
          <w:caps w:val="0"/>
          <w:color w:val="auto"/>
          <w:spacing w:val="0"/>
          <w:kern w:val="0"/>
          <w:sz w:val="32"/>
          <w:szCs w:val="32"/>
          <w:shd w:val="clear" w:fill="FFFFFF"/>
          <w:lang w:val="en-US" w:eastAsia="zh-CN" w:bidi="ar"/>
        </w:rPr>
        <w:t>银理财的信息披露地址附上，以便投资者查阅。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微软雅黑" w:hAnsi="微软雅黑" w:eastAsia="微软雅黑" w:cs="微软雅黑"/>
          <w:i w:val="0"/>
          <w:iCs w:val="0"/>
          <w:caps w:val="0"/>
          <w:color w:val="333333"/>
          <w:spacing w:val="0"/>
          <w:sz w:val="27"/>
          <w:szCs w:val="27"/>
          <w:shd w:val="clear" w:fill="FFFFFF"/>
          <w:lang w:val="en-US" w:eastAsia="zh-CN"/>
        </w:rPr>
      </w:pPr>
      <w:r>
        <w:rPr>
          <w:rFonts w:hint="eastAsia" w:ascii="仿宋" w:hAnsi="仿宋" w:eastAsia="仿宋" w:cs="仿宋"/>
          <w:b/>
          <w:bCs/>
          <w:i w:val="0"/>
          <w:iCs w:val="0"/>
          <w:caps w:val="0"/>
          <w:color w:val="auto"/>
          <w:spacing w:val="0"/>
          <w:kern w:val="0"/>
          <w:sz w:val="32"/>
          <w:szCs w:val="32"/>
          <w:shd w:val="clear" w:fill="FFFFFF"/>
          <w:lang w:val="en-US" w:eastAsia="zh-CN" w:bidi="ar"/>
        </w:rPr>
        <w:t>兴银理财信息披露地址：</w:t>
      </w:r>
      <w:r>
        <w:rPr>
          <w:rFonts w:hint="eastAsia" w:ascii="仿宋" w:hAnsi="仿宋" w:eastAsia="仿宋" w:cs="仿宋"/>
          <w:i w:val="0"/>
          <w:iCs w:val="0"/>
          <w:caps w:val="0"/>
          <w:color w:val="auto"/>
          <w:spacing w:val="0"/>
          <w:kern w:val="0"/>
          <w:sz w:val="32"/>
          <w:szCs w:val="32"/>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shd w:val="clear" w:fill="FFFFFF"/>
          <w:lang w:val="en-US" w:eastAsia="zh-CN" w:bidi="ar"/>
        </w:rPr>
        <w:instrText xml:space="preserve"> HYPERLINK "https://wealth.cib.com.cn/retail/xingyin/ZL/" </w:instrText>
      </w:r>
      <w:r>
        <w:rPr>
          <w:rFonts w:hint="eastAsia" w:ascii="仿宋" w:hAnsi="仿宋" w:eastAsia="仿宋" w:cs="仿宋"/>
          <w:i w:val="0"/>
          <w:iCs w:val="0"/>
          <w:caps w:val="0"/>
          <w:color w:val="auto"/>
          <w:spacing w:val="0"/>
          <w:kern w:val="0"/>
          <w:sz w:val="32"/>
          <w:szCs w:val="32"/>
          <w:shd w:val="clear" w:fill="FFFFFF"/>
          <w:lang w:val="en-US" w:eastAsia="zh-CN" w:bidi="ar"/>
        </w:rPr>
        <w:fldChar w:fldCharType="separate"/>
      </w:r>
      <w:r>
        <w:rPr>
          <w:rFonts w:hint="eastAsia" w:ascii="仿宋" w:hAnsi="仿宋" w:eastAsia="仿宋" w:cs="仿宋"/>
          <w:i w:val="0"/>
          <w:iCs w:val="0"/>
          <w:caps w:val="0"/>
          <w:color w:val="auto"/>
          <w:spacing w:val="0"/>
          <w:kern w:val="0"/>
          <w:sz w:val="32"/>
          <w:szCs w:val="32"/>
          <w:shd w:val="clear" w:fill="FFFFFF"/>
          <w:lang w:val="en-US" w:eastAsia="zh-CN" w:bidi="ar"/>
        </w:rPr>
        <w:t>https://wealth.cib.com.cn/retail/xingyin/ZL/</w:t>
      </w:r>
      <w:r>
        <w:rPr>
          <w:rFonts w:hint="eastAsia" w:ascii="仿宋" w:hAnsi="仿宋" w:eastAsia="仿宋" w:cs="仿宋"/>
          <w:i w:val="0"/>
          <w:iCs w:val="0"/>
          <w:caps w:val="0"/>
          <w:color w:val="auto"/>
          <w:spacing w:val="0"/>
          <w:kern w:val="0"/>
          <w:sz w:val="32"/>
          <w:szCs w:val="32"/>
          <w:shd w:val="clear" w:fill="FFFFFF"/>
          <w:lang w:val="en-US" w:eastAsia="zh-CN" w:bidi="ar"/>
        </w:rPr>
        <w:fldChar w:fldCharType="end"/>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微软雅黑" w:hAnsi="微软雅黑" w:eastAsia="微软雅黑" w:cs="微软雅黑"/>
          <w:i w:val="0"/>
          <w:iCs w:val="0"/>
          <w:caps w:val="0"/>
          <w:color w:val="333333"/>
          <w:spacing w:val="0"/>
          <w:sz w:val="27"/>
          <w:szCs w:val="27"/>
          <w:shd w:val="clear" w:fill="FFFFFF"/>
          <w:lang w:val="en-US" w:eastAsia="zh-CN"/>
        </w:rPr>
      </w:pPr>
      <w:r>
        <w:rPr>
          <w:rFonts w:hint="eastAsia" w:ascii="仿宋" w:hAnsi="仿宋" w:eastAsia="仿宋" w:cs="仿宋"/>
          <w:b/>
          <w:bCs/>
          <w:i w:val="0"/>
          <w:iCs w:val="0"/>
          <w:caps w:val="0"/>
          <w:color w:val="auto"/>
          <w:spacing w:val="0"/>
          <w:kern w:val="0"/>
          <w:sz w:val="32"/>
          <w:szCs w:val="32"/>
          <w:shd w:val="clear" w:fill="FFFFFF"/>
          <w:lang w:val="en-US" w:eastAsia="zh-CN" w:bidi="ar"/>
        </w:rPr>
        <w:t>理财产品如下：</w:t>
      </w:r>
    </w:p>
    <w:tbl>
      <w:tblPr>
        <w:tblStyle w:val="2"/>
        <w:tblW w:w="84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43"/>
        <w:gridCol w:w="5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兴业银行天天万利宝稳利6号O款净值型理财产品[稳利月月增利A]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fldChar w:fldCharType="begin"/>
            </w:r>
            <w:r>
              <w:rPr>
                <w:rFonts w:hint="eastAsia" w:ascii="微软雅黑" w:hAnsi="微软雅黑" w:eastAsia="微软雅黑" w:cs="微软雅黑"/>
                <w:i w:val="0"/>
                <w:iCs w:val="0"/>
                <w:caps w:val="0"/>
                <w:color w:val="333333"/>
                <w:spacing w:val="0"/>
                <w:sz w:val="18"/>
                <w:szCs w:val="18"/>
                <w:shd w:val="clear" w:fill="FFFFFF"/>
                <w:lang w:val="en-US" w:eastAsia="zh-CN"/>
              </w:rPr>
              <w:instrText xml:space="preserve"> HYPERLINK "https://wealth.cib.com.cn/retail/duration/open-wlb/setup/201907/201907.html" </w:instrText>
            </w:r>
            <w:r>
              <w:rPr>
                <w:rFonts w:hint="eastAsia" w:ascii="微软雅黑" w:hAnsi="微软雅黑" w:eastAsia="微软雅黑" w:cs="微软雅黑"/>
                <w:i w:val="0"/>
                <w:iCs w:val="0"/>
                <w:caps w:val="0"/>
                <w:color w:val="333333"/>
                <w:spacing w:val="0"/>
                <w:sz w:val="18"/>
                <w:szCs w:val="18"/>
                <w:shd w:val="clear" w:fill="FFFFFF"/>
                <w:lang w:val="en-US" w:eastAsia="zh-CN"/>
              </w:rPr>
              <w:fldChar w:fldCharType="separate"/>
            </w:r>
            <w:r>
              <w:rPr>
                <w:rFonts w:hint="eastAsia" w:ascii="微软雅黑" w:hAnsi="微软雅黑" w:eastAsia="微软雅黑" w:cs="微软雅黑"/>
                <w:i w:val="0"/>
                <w:iCs w:val="0"/>
                <w:caps w:val="0"/>
                <w:color w:val="333333"/>
                <w:spacing w:val="0"/>
                <w:sz w:val="18"/>
                <w:szCs w:val="18"/>
                <w:shd w:val="clear" w:fill="FFFFFF"/>
                <w:lang w:val="en-US" w:eastAsia="zh-CN"/>
              </w:rPr>
              <w:t>https://wealth.cib.com.cn/retail/duration/open-wlb/setup/201907/201907.html</w:t>
            </w:r>
            <w:r>
              <w:rPr>
                <w:rFonts w:hint="eastAsia" w:ascii="微软雅黑" w:hAnsi="微软雅黑" w:eastAsia="微软雅黑" w:cs="微软雅黑"/>
                <w:i w:val="0"/>
                <w:iCs w:val="0"/>
                <w:caps w:val="0"/>
                <w:color w:val="333333"/>
                <w:spacing w:val="0"/>
                <w:sz w:val="18"/>
                <w:szCs w:val="18"/>
                <w:shd w:val="clear" w:fill="FFFFFF"/>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兴业银行天天万利宝稳利6号S款净值型理财产品[稳利月月增利B款]</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b w:val="0"/>
                <w:bCs w:val="0"/>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fldChar w:fldCharType="begin"/>
            </w:r>
            <w:r>
              <w:rPr>
                <w:rFonts w:hint="eastAsia" w:ascii="微软雅黑" w:hAnsi="微软雅黑" w:eastAsia="微软雅黑" w:cs="微软雅黑"/>
                <w:i w:val="0"/>
                <w:iCs w:val="0"/>
                <w:caps w:val="0"/>
                <w:color w:val="333333"/>
                <w:spacing w:val="0"/>
                <w:sz w:val="18"/>
                <w:szCs w:val="18"/>
                <w:shd w:val="clear" w:fill="FFFFFF"/>
                <w:lang w:val="en-US" w:eastAsia="zh-CN"/>
              </w:rPr>
              <w:instrText xml:space="preserve"> HYPERLINK "https://wealth.cib.com.cn/retail/duration/open-wlb/setup/201914/201914.html" </w:instrText>
            </w:r>
            <w:r>
              <w:rPr>
                <w:rFonts w:hint="eastAsia" w:ascii="微软雅黑" w:hAnsi="微软雅黑" w:eastAsia="微软雅黑" w:cs="微软雅黑"/>
                <w:i w:val="0"/>
                <w:iCs w:val="0"/>
                <w:caps w:val="0"/>
                <w:color w:val="333333"/>
                <w:spacing w:val="0"/>
                <w:sz w:val="18"/>
                <w:szCs w:val="18"/>
                <w:shd w:val="clear" w:fill="FFFFFF"/>
                <w:lang w:val="en-US" w:eastAsia="zh-CN"/>
              </w:rPr>
              <w:fldChar w:fldCharType="separate"/>
            </w:r>
            <w:r>
              <w:rPr>
                <w:rFonts w:hint="eastAsia" w:ascii="微软雅黑" w:hAnsi="微软雅黑" w:eastAsia="微软雅黑" w:cs="微软雅黑"/>
                <w:i w:val="0"/>
                <w:iCs w:val="0"/>
                <w:caps w:val="0"/>
                <w:color w:val="333333"/>
                <w:spacing w:val="0"/>
                <w:sz w:val="18"/>
                <w:szCs w:val="18"/>
                <w:shd w:val="clear" w:fill="FFFFFF"/>
                <w:lang w:val="en-US" w:eastAsia="zh-CN"/>
              </w:rPr>
              <w:t>https://wealth.cib.com.cn/retail/duration/open-wlb/setup/201914/201914.html</w:t>
            </w:r>
            <w:r>
              <w:rPr>
                <w:rFonts w:hint="eastAsia" w:ascii="微软雅黑" w:hAnsi="微软雅黑" w:eastAsia="微软雅黑" w:cs="微软雅黑"/>
                <w:i w:val="0"/>
                <w:iCs w:val="0"/>
                <w:caps w:val="0"/>
                <w:color w:val="333333"/>
                <w:spacing w:val="0"/>
                <w:sz w:val="18"/>
                <w:szCs w:val="18"/>
                <w:shd w:val="clear" w:fill="FFFFFF"/>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兴业银行天天万利宝稳利6号T款净值型理财产品[稳利月月增利C款]</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b w:val="0"/>
                <w:bCs w:val="0"/>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t>https://wealth.cib.com.cn/retail/duration/open-wlb/setup/201915/201915.html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兴业银行天天万利宝稳利6号Q款净值型理财产品[稳利月月增利D款]</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b w:val="0"/>
                <w:bCs w:val="0"/>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t>https://wealth.cib.com.cn/retail/duration/open-wlb/setup/201910/201910.html</w:t>
            </w:r>
          </w:p>
        </w:tc>
      </w:tr>
    </w:tbl>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bCs/>
          <w:i w:val="0"/>
          <w:iCs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bCs/>
          <w:i w:val="0"/>
          <w:iCs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bCs/>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风险提示：</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理财产品的管理人为理财公司，张家港农村商业银行为代销机构。代销机构不承担产品的投资、兑付和风险管理责任，一切产品要素和交易规则以产品说明书等法律文件为准。产品的业绩比较基准、业绩报酬计提起点仅作为管理人收取超额业绩报酬和动态调整投资管理费的参照，不作为产品收益的业绩保证。理财产品过往业绩不代表未来表现，不等于理财产品实际收益。</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理财非存款，产品有风险，投资须谨慎。</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张家港农村商业银行股份有限公司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4MGY3ZTNjN2UwN2FmYjViOTZlODcwYWQ5OTE2OWQifQ=="/>
  </w:docVars>
  <w:rsids>
    <w:rsidRoot w:val="02CE2A08"/>
    <w:rsid w:val="007A2B43"/>
    <w:rsid w:val="02CE2A08"/>
    <w:rsid w:val="5E9B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439</Words>
  <Characters>779</Characters>
  <Lines>0</Lines>
  <Paragraphs>0</Paragraphs>
  <TotalTime>1</TotalTime>
  <ScaleCrop>false</ScaleCrop>
  <LinksUpToDate>false</LinksUpToDate>
  <CharactersWithSpaces>779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2023-07-05T07:50:00Z</dcterms:created>
  <dc:creator>陈陆滢</dc:creator>
  <cp:lastModifiedBy>zrcbankchen</cp:lastModifiedBy>
  <dcterms:modified xsi:type="dcterms:W3CDTF">2023-12-13T00:32:38Z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598DD603ECBE4BF987F71FB139BAB279_11</vt:lpwstr>
  </property>
</Properties>
</file>