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240" w:lineRule="auto"/>
        <w:ind w:firstLine="422"/>
        <w:jc w:val="center"/>
        <w:rPr>
          <w:rFonts w:hint="eastAsia" w:ascii="楷体" w:hAnsi="楷体" w:eastAsia="楷体" w:cs="楷体"/>
          <w:b/>
          <w:bCs/>
          <w:color w:val="000000"/>
          <w:sz w:val="36"/>
          <w:szCs w:val="36"/>
          <w:lang w:val="en-US"/>
        </w:rPr>
      </w:pPr>
    </w:p>
    <w:p>
      <w:pPr>
        <w:keepNext w:val="0"/>
        <w:keepLines w:val="0"/>
        <w:pageBreakBefore w:val="0"/>
        <w:widowControl w:val="0"/>
        <w:kinsoku/>
        <w:wordWrap/>
        <w:overflowPunct/>
        <w:topLinePunct w:val="0"/>
        <w:autoSpaceDE/>
        <w:autoSpaceDN w:val="0"/>
        <w:bidi w:val="0"/>
        <w:adjustRightInd/>
        <w:snapToGrid/>
        <w:spacing w:line="240" w:lineRule="auto"/>
        <w:ind w:firstLine="0"/>
        <w:jc w:val="center"/>
        <w:textAlignment w:val="auto"/>
        <w:rPr>
          <w:rFonts w:hint="eastAsia" w:ascii="方正大标宋简体" w:hAnsi="宋体" w:eastAsia="方正大标宋简体" w:cs="黑体"/>
          <w:b/>
          <w:bCs/>
          <w:color w:val="000000"/>
          <w:sz w:val="36"/>
          <w:szCs w:val="36"/>
          <w:lang w:val="en-US"/>
        </w:rPr>
      </w:pPr>
      <w:r>
        <w:rPr>
          <w:rFonts w:hint="eastAsia" w:ascii="方正大标宋简体" w:hAnsi="宋体" w:eastAsia="方正大标宋简体" w:cs="黑体"/>
          <w:b/>
          <w:bCs/>
          <w:color w:val="000000"/>
          <w:sz w:val="36"/>
          <w:szCs w:val="36"/>
          <w:lang w:val="en-US" w:eastAsia="zh-CN"/>
        </w:rPr>
        <w:t>金港湾悠享周开1号</w:t>
      </w:r>
      <w:r>
        <w:rPr>
          <w:rFonts w:hint="eastAsia" w:ascii="方正大标宋简体" w:hAnsi="宋体" w:eastAsia="方正大标宋简体" w:cs="黑体"/>
          <w:b/>
          <w:bCs/>
          <w:color w:val="000000"/>
          <w:sz w:val="36"/>
          <w:szCs w:val="36"/>
          <w:lang w:val="en-US"/>
        </w:rPr>
        <w:t>净值型人民币理财产品</w:t>
      </w:r>
    </w:p>
    <w:p>
      <w:pPr>
        <w:keepNext w:val="0"/>
        <w:keepLines w:val="0"/>
        <w:pageBreakBefore w:val="0"/>
        <w:widowControl w:val="0"/>
        <w:kinsoku/>
        <w:wordWrap/>
        <w:overflowPunct/>
        <w:topLinePunct w:val="0"/>
        <w:autoSpaceDE/>
        <w:autoSpaceDN w:val="0"/>
        <w:bidi w:val="0"/>
        <w:adjustRightInd/>
        <w:snapToGrid/>
        <w:spacing w:line="240" w:lineRule="auto"/>
        <w:ind w:firstLine="0"/>
        <w:jc w:val="center"/>
        <w:textAlignment w:val="auto"/>
        <w:rPr>
          <w:rFonts w:hint="eastAsia" w:ascii="方正大标宋简体" w:hAnsi="宋体" w:eastAsia="方正大标宋简体" w:cs="黑体"/>
          <w:b/>
          <w:bCs w:val="0"/>
          <w:color w:val="000000"/>
          <w:sz w:val="36"/>
          <w:szCs w:val="36"/>
          <w:lang w:val="en-US"/>
        </w:rPr>
      </w:pPr>
      <w:r>
        <w:rPr>
          <w:rFonts w:hint="eastAsia" w:ascii="方正大标宋简体" w:hAnsi="宋体" w:eastAsia="方正大标宋简体" w:cs="黑体"/>
          <w:b/>
          <w:bCs/>
          <w:color w:val="000000"/>
          <w:sz w:val="36"/>
          <w:szCs w:val="36"/>
          <w:lang w:val="en-US"/>
        </w:rPr>
        <w:t>开放申购要素表</w:t>
      </w:r>
    </w:p>
    <w:p>
      <w:pPr>
        <w:autoSpaceDN w:val="0"/>
        <w:spacing w:line="360" w:lineRule="atLeast"/>
        <w:ind w:firstLine="0"/>
        <w:jc w:val="both"/>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尊敬的投资者：</w:t>
      </w:r>
    </w:p>
    <w:p>
      <w:pPr>
        <w:autoSpaceDN w:val="0"/>
        <w:spacing w:line="360" w:lineRule="atLeast"/>
        <w:ind w:firstLine="422"/>
        <w:jc w:val="both"/>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eastAsia="zh-CN"/>
        </w:rPr>
        <w:t>根据金港湾悠享周开1号</w:t>
      </w:r>
      <w:r>
        <w:rPr>
          <w:rFonts w:hint="eastAsia" w:ascii="楷体" w:hAnsi="楷体" w:eastAsia="楷体" w:cs="楷体"/>
          <w:color w:val="000000"/>
          <w:sz w:val="24"/>
          <w:szCs w:val="24"/>
          <w:lang w:val="en-US"/>
        </w:rPr>
        <w:t>净值型人民币理财产品说明书相关规定，我行现将</w:t>
      </w:r>
      <w:r>
        <w:rPr>
          <w:rFonts w:hint="eastAsia" w:ascii="楷体" w:hAnsi="楷体" w:eastAsia="楷体" w:cs="楷体"/>
          <w:color w:val="000000"/>
          <w:sz w:val="24"/>
          <w:szCs w:val="24"/>
          <w:lang w:val="en-US" w:eastAsia="zh-CN"/>
        </w:rPr>
        <w:t>金港湾悠享周开1号</w:t>
      </w:r>
      <w:r>
        <w:rPr>
          <w:rFonts w:hint="eastAsia" w:ascii="楷体" w:hAnsi="楷体" w:eastAsia="楷体" w:cs="楷体"/>
          <w:color w:val="000000"/>
          <w:sz w:val="24"/>
          <w:szCs w:val="24"/>
          <w:lang w:val="en-US"/>
        </w:rPr>
        <w:t>人民币理财产品第</w:t>
      </w:r>
      <w:r>
        <w:rPr>
          <w:rFonts w:hint="eastAsia" w:ascii="楷体" w:hAnsi="楷体" w:eastAsia="楷体" w:cs="楷体"/>
          <w:color w:val="000000"/>
          <w:sz w:val="24"/>
          <w:szCs w:val="24"/>
          <w:lang w:val="en-US" w:eastAsia="zh-CN"/>
        </w:rPr>
        <w:t>XXX投资</w:t>
      </w:r>
      <w:r>
        <w:rPr>
          <w:rFonts w:hint="eastAsia" w:ascii="楷体" w:hAnsi="楷体" w:eastAsia="楷体" w:cs="楷体"/>
          <w:color w:val="000000"/>
          <w:sz w:val="24"/>
          <w:szCs w:val="24"/>
          <w:lang w:val="en-US"/>
        </w:rPr>
        <w:t>周期开放申购要素表公告如下：</w:t>
      </w:r>
    </w:p>
    <w:p>
      <w:pPr>
        <w:autoSpaceDN w:val="0"/>
        <w:spacing w:line="360" w:lineRule="atLeast"/>
        <w:ind w:firstLine="422"/>
        <w:jc w:val="both"/>
        <w:rPr>
          <w:rFonts w:hint="eastAsia" w:ascii="楷体" w:hAnsi="楷体" w:eastAsia="楷体" w:cs="楷体"/>
          <w:color w:val="000000"/>
          <w:sz w:val="24"/>
          <w:szCs w:val="24"/>
          <w:lang w:val="en-US"/>
        </w:rPr>
      </w:pPr>
    </w:p>
    <w:tbl>
      <w:tblPr>
        <w:tblStyle w:val="4"/>
        <w:tblW w:w="946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32"/>
        <w:gridCol w:w="5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353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理财产品代码</w:t>
            </w:r>
          </w:p>
        </w:tc>
        <w:tc>
          <w:tcPr>
            <w:tcW w:w="5930"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YX07D001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jc w:val="center"/>
        </w:trPr>
        <w:tc>
          <w:tcPr>
            <w:tcW w:w="353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产品登记编码</w:t>
            </w:r>
          </w:p>
        </w:tc>
        <w:tc>
          <w:tcPr>
            <w:tcW w:w="5930"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C1115619000092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 w:hRule="atLeast"/>
          <w:jc w:val="center"/>
        </w:trPr>
        <w:tc>
          <w:tcPr>
            <w:tcW w:w="353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0"/>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产品业绩比较基准</w:t>
            </w:r>
          </w:p>
        </w:tc>
        <w:tc>
          <w:tcPr>
            <w:tcW w:w="5930"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eastAsia="zh-CN"/>
              </w:rPr>
              <w:t>XXXX</w:t>
            </w:r>
            <w:r>
              <w:rPr>
                <w:rFonts w:hint="eastAsia" w:ascii="楷体" w:hAnsi="楷体" w:eastAsia="楷体" w:cs="楷体"/>
                <w:color w:val="000000"/>
                <w:sz w:val="24"/>
                <w:szCs w:val="24"/>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6" w:hRule="atLeast"/>
          <w:jc w:val="center"/>
        </w:trPr>
        <w:tc>
          <w:tcPr>
            <w:tcW w:w="353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开放期/认购期</w:t>
            </w:r>
          </w:p>
        </w:tc>
        <w:tc>
          <w:tcPr>
            <w:tcW w:w="5930"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210"/>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202</w:t>
            </w:r>
            <w:r>
              <w:rPr>
                <w:rFonts w:hint="eastAsia" w:ascii="楷体" w:hAnsi="楷体" w:eastAsia="楷体" w:cs="楷体"/>
                <w:color w:val="000000"/>
                <w:sz w:val="24"/>
                <w:szCs w:val="24"/>
                <w:lang w:val="en-US" w:eastAsia="zh-CN"/>
              </w:rPr>
              <w:t>4</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日9:00至</w:t>
            </w:r>
            <w:r>
              <w:rPr>
                <w:rFonts w:hint="eastAsia" w:ascii="楷体" w:hAnsi="楷体" w:eastAsia="楷体" w:cs="楷体"/>
                <w:color w:val="000000"/>
                <w:sz w:val="24"/>
                <w:szCs w:val="24"/>
                <w:lang w:val="en-US" w:eastAsia="zh-CN"/>
              </w:rPr>
              <w:t>2024</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日16:30</w:t>
            </w:r>
          </w:p>
          <w:p>
            <w:pPr>
              <w:autoSpaceDN w:val="0"/>
              <w:spacing w:line="360" w:lineRule="atLeast"/>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（具体时间以系统时间为准，若超过该时点交易导致交易失败，由此引起的一切风险由投资者承担）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atLeast"/>
          <w:jc w:val="center"/>
        </w:trPr>
        <w:tc>
          <w:tcPr>
            <w:tcW w:w="353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本投资周期起始日/清算确认日</w:t>
            </w:r>
          </w:p>
        </w:tc>
        <w:tc>
          <w:tcPr>
            <w:tcW w:w="5930"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202</w:t>
            </w:r>
            <w:r>
              <w:rPr>
                <w:rFonts w:hint="eastAsia" w:ascii="楷体" w:hAnsi="楷体" w:eastAsia="楷体" w:cs="楷体"/>
                <w:color w:val="000000"/>
                <w:sz w:val="24"/>
                <w:szCs w:val="24"/>
                <w:lang w:val="en-US" w:eastAsia="zh-CN"/>
              </w:rPr>
              <w:t>4</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jc w:val="center"/>
        </w:trPr>
        <w:tc>
          <w:tcPr>
            <w:tcW w:w="353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投资周期</w:t>
            </w:r>
          </w:p>
        </w:tc>
        <w:tc>
          <w:tcPr>
            <w:tcW w:w="5930"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202</w:t>
            </w:r>
            <w:r>
              <w:rPr>
                <w:rFonts w:hint="eastAsia" w:ascii="楷体" w:hAnsi="楷体" w:eastAsia="楷体" w:cs="楷体"/>
                <w:color w:val="000000"/>
                <w:sz w:val="24"/>
                <w:szCs w:val="24"/>
                <w:lang w:val="en-US" w:eastAsia="zh-CN"/>
              </w:rPr>
              <w:t>4</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日（含）-202</w:t>
            </w:r>
            <w:r>
              <w:rPr>
                <w:rFonts w:hint="eastAsia" w:ascii="楷体" w:hAnsi="楷体" w:eastAsia="楷体" w:cs="楷体"/>
                <w:color w:val="000000"/>
                <w:sz w:val="24"/>
                <w:szCs w:val="24"/>
                <w:lang w:val="en-US" w:eastAsia="zh-CN"/>
              </w:rPr>
              <w:t>4</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日（不含）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jc w:val="center"/>
        </w:trPr>
        <w:tc>
          <w:tcPr>
            <w:tcW w:w="353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下一开放期</w:t>
            </w:r>
          </w:p>
        </w:tc>
        <w:tc>
          <w:tcPr>
            <w:tcW w:w="5930"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202</w:t>
            </w:r>
            <w:r>
              <w:rPr>
                <w:rFonts w:hint="eastAsia" w:ascii="楷体" w:hAnsi="楷体" w:eastAsia="楷体" w:cs="楷体"/>
                <w:color w:val="000000"/>
                <w:sz w:val="24"/>
                <w:szCs w:val="24"/>
                <w:lang w:val="en-US" w:eastAsia="zh-CN"/>
              </w:rPr>
              <w:t>4</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XX</w:t>
            </w:r>
            <w:r>
              <w:rPr>
                <w:rFonts w:hint="eastAsia" w:ascii="楷体" w:hAnsi="楷体" w:eastAsia="楷体" w:cs="楷体"/>
                <w:color w:val="000000"/>
                <w:sz w:val="24"/>
                <w:szCs w:val="24"/>
                <w:lang w:val="en-US"/>
              </w:rPr>
              <w:t>日-</w:t>
            </w:r>
            <w:r>
              <w:rPr>
                <w:rFonts w:hint="eastAsia" w:ascii="楷体" w:hAnsi="楷体" w:eastAsia="楷体" w:cs="楷体"/>
                <w:color w:val="000000"/>
                <w:sz w:val="24"/>
                <w:szCs w:val="24"/>
                <w:lang w:val="en-US" w:eastAsia="zh-CN"/>
              </w:rPr>
              <w:t>2024</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XX</w:t>
            </w:r>
            <w:r>
              <w:rPr>
                <w:rFonts w:hint="eastAsia" w:ascii="楷体" w:hAnsi="楷体" w:eastAsia="楷体" w:cs="楷体"/>
                <w:color w:val="000000"/>
                <w:sz w:val="24"/>
                <w:szCs w:val="24"/>
                <w:lang w:val="en-US"/>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jc w:val="center"/>
        </w:trPr>
        <w:tc>
          <w:tcPr>
            <w:tcW w:w="353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本投资周期到期日/</w:t>
            </w:r>
          </w:p>
          <w:p>
            <w:pPr>
              <w:autoSpaceDN w:val="0"/>
              <w:spacing w:line="360" w:lineRule="atLeast"/>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下一清算确认日</w:t>
            </w:r>
          </w:p>
        </w:tc>
        <w:tc>
          <w:tcPr>
            <w:tcW w:w="5930"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202</w:t>
            </w:r>
            <w:r>
              <w:rPr>
                <w:rFonts w:hint="eastAsia" w:ascii="楷体" w:hAnsi="楷体" w:eastAsia="楷体" w:cs="楷体"/>
                <w:color w:val="000000"/>
                <w:sz w:val="24"/>
                <w:szCs w:val="24"/>
                <w:lang w:val="en-US" w:eastAsia="zh-CN"/>
              </w:rPr>
              <w:t>4</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X</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XX</w:t>
            </w:r>
            <w:r>
              <w:rPr>
                <w:rFonts w:hint="eastAsia" w:ascii="楷体" w:hAnsi="楷体" w:eastAsia="楷体" w:cs="楷体"/>
                <w:color w:val="000000"/>
                <w:sz w:val="24"/>
                <w:szCs w:val="24"/>
                <w:lang w:val="en-US"/>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atLeast"/>
          <w:jc w:val="center"/>
        </w:trPr>
        <w:tc>
          <w:tcPr>
            <w:tcW w:w="353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本投资周期天数</w:t>
            </w:r>
          </w:p>
        </w:tc>
        <w:tc>
          <w:tcPr>
            <w:tcW w:w="5930" w:type="dxa"/>
            <w:tcBorders>
              <w:top w:val="single" w:color="000000" w:sz="4" w:space="0"/>
              <w:bottom w:val="single" w:color="000000" w:sz="4" w:space="0"/>
              <w:right w:val="single" w:color="000000" w:sz="4" w:space="0"/>
            </w:tcBorders>
            <w:tcMar>
              <w:top w:w="0" w:type="dxa"/>
              <w:left w:w="0" w:type="dxa"/>
              <w:bottom w:w="0" w:type="dxa"/>
              <w:right w:w="0" w:type="dxa"/>
            </w:tcMar>
            <w:vAlign w:val="center"/>
          </w:tcPr>
          <w:p>
            <w:pPr>
              <w:autoSpaceDN w:val="0"/>
              <w:spacing w:line="360" w:lineRule="atLeast"/>
              <w:ind w:firstLine="422"/>
              <w:jc w:val="center"/>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eastAsia="zh-CN"/>
              </w:rPr>
              <w:t>7</w:t>
            </w:r>
            <w:r>
              <w:rPr>
                <w:rFonts w:hint="eastAsia" w:ascii="楷体" w:hAnsi="楷体" w:eastAsia="楷体" w:cs="楷体"/>
                <w:color w:val="000000"/>
                <w:sz w:val="24"/>
                <w:szCs w:val="24"/>
                <w:lang w:val="en-US"/>
              </w:rPr>
              <w:t>天</w:t>
            </w:r>
          </w:p>
        </w:tc>
      </w:tr>
    </w:tbl>
    <w:p>
      <w:pPr>
        <w:autoSpaceDN w:val="0"/>
        <w:spacing w:line="360" w:lineRule="atLeast"/>
        <w:jc w:val="both"/>
        <w:rPr>
          <w:rFonts w:hint="eastAsia" w:ascii="楷体" w:hAnsi="楷体" w:eastAsia="楷体" w:cs="楷体"/>
          <w:color w:val="000000"/>
          <w:sz w:val="24"/>
          <w:szCs w:val="24"/>
          <w:lang w:val="en-US"/>
        </w:rPr>
      </w:pPr>
    </w:p>
    <w:p>
      <w:pPr>
        <w:widowControl/>
        <w:numPr>
          <w:ilvl w:val="0"/>
          <w:numId w:val="0"/>
        </w:numPr>
        <w:autoSpaceDN w:val="0"/>
        <w:spacing w:line="360" w:lineRule="atLeast"/>
        <w:ind w:firstLine="0"/>
        <w:jc w:val="both"/>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特别提示：</w:t>
      </w:r>
    </w:p>
    <w:p>
      <w:pPr>
        <w:widowControl/>
        <w:numPr>
          <w:ilvl w:val="0"/>
          <w:numId w:val="0"/>
        </w:numPr>
        <w:autoSpaceDN w:val="0"/>
        <w:spacing w:line="360" w:lineRule="atLeast"/>
        <w:ind w:firstLine="0"/>
        <w:jc w:val="both"/>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eastAsia="zh-CN"/>
        </w:rPr>
        <w:t>1.</w:t>
      </w:r>
      <w:r>
        <w:rPr>
          <w:rFonts w:hint="eastAsia" w:ascii="楷体" w:hAnsi="楷体" w:eastAsia="楷体" w:cs="楷体"/>
          <w:color w:val="000000"/>
          <w:sz w:val="24"/>
          <w:szCs w:val="24"/>
          <w:lang w:val="en-US"/>
        </w:rPr>
        <w:t>本开放申购要素表为</w:t>
      </w:r>
      <w:r>
        <w:rPr>
          <w:rFonts w:hint="eastAsia" w:ascii="楷体" w:hAnsi="楷体" w:eastAsia="楷体" w:cs="楷体"/>
          <w:color w:val="000000"/>
          <w:sz w:val="24"/>
          <w:szCs w:val="24"/>
          <w:lang w:val="en-US" w:eastAsia="zh-CN"/>
        </w:rPr>
        <w:t>理财产品说明书</w:t>
      </w:r>
      <w:r>
        <w:rPr>
          <w:rFonts w:hint="eastAsia" w:ascii="楷体" w:hAnsi="楷体" w:eastAsia="楷体" w:cs="楷体"/>
          <w:color w:val="000000"/>
          <w:sz w:val="24"/>
          <w:szCs w:val="24"/>
          <w:lang w:val="en-US"/>
        </w:rPr>
        <w:t>不可分割</w:t>
      </w:r>
      <w:r>
        <w:rPr>
          <w:rFonts w:hint="eastAsia" w:ascii="楷体" w:hAnsi="楷体" w:eastAsia="楷体" w:cs="楷体"/>
          <w:color w:val="000000"/>
          <w:sz w:val="24"/>
          <w:szCs w:val="24"/>
          <w:lang w:val="en-US" w:eastAsia="zh-CN"/>
        </w:rPr>
        <w:t>的</w:t>
      </w:r>
      <w:r>
        <w:rPr>
          <w:rFonts w:hint="eastAsia" w:ascii="楷体" w:hAnsi="楷体" w:eastAsia="楷体" w:cs="楷体"/>
          <w:color w:val="000000"/>
          <w:sz w:val="24"/>
          <w:szCs w:val="24"/>
          <w:lang w:val="en-US"/>
        </w:rPr>
        <w:t>组成部分。</w:t>
      </w:r>
    </w:p>
    <w:p>
      <w:pPr>
        <w:widowControl/>
        <w:numPr>
          <w:ilvl w:val="0"/>
          <w:numId w:val="0"/>
        </w:numPr>
        <w:autoSpaceDN w:val="0"/>
        <w:spacing w:line="360" w:lineRule="atLeast"/>
        <w:ind w:firstLine="0"/>
        <w:jc w:val="both"/>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2.</w:t>
      </w:r>
      <w:r>
        <w:rPr>
          <w:rFonts w:hint="eastAsia" w:ascii="楷体" w:hAnsi="楷体" w:eastAsia="楷体" w:cs="楷体"/>
          <w:color w:val="000000"/>
          <w:sz w:val="24"/>
        </w:rPr>
        <w:t>要素表中公告的业绩比较基准仅代表当期投资周期，不同投资周期的业绩比较基准可能会发生调整，</w:t>
      </w:r>
      <w:r>
        <w:rPr>
          <w:rFonts w:hint="eastAsia" w:ascii="楷体" w:hAnsi="楷体" w:eastAsia="楷体" w:cs="楷体"/>
          <w:b/>
          <w:bCs/>
          <w:color w:val="000000"/>
          <w:sz w:val="24"/>
        </w:rPr>
        <w:t>张家港农村商业银行郑重提示：理财非存款，产品有风险，投资须谨慎。理财产品过往业绩不代表其未来表现，不等于理财产品实际收益。</w:t>
      </w:r>
    </w:p>
    <w:p>
      <w:pPr>
        <w:widowControl/>
        <w:numPr>
          <w:ilvl w:val="0"/>
          <w:numId w:val="0"/>
        </w:numPr>
        <w:autoSpaceDN w:val="0"/>
        <w:spacing w:line="360" w:lineRule="atLeast"/>
        <w:ind w:firstLine="0"/>
        <w:jc w:val="both"/>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3.在开放期内，投资者未进行赎回操作，则投资者持有的理财</w:t>
      </w:r>
      <w:r>
        <w:rPr>
          <w:rFonts w:hint="eastAsia" w:ascii="楷体" w:hAnsi="楷体" w:eastAsia="楷体" w:cs="楷体"/>
          <w:color w:val="000000"/>
          <w:sz w:val="24"/>
          <w:szCs w:val="24"/>
          <w:lang w:val="en-US" w:eastAsia="zh-CN"/>
        </w:rPr>
        <w:t>资金</w:t>
      </w:r>
      <w:r>
        <w:rPr>
          <w:rFonts w:hint="eastAsia" w:ascii="楷体" w:hAnsi="楷体" w:eastAsia="楷体" w:cs="楷体"/>
          <w:color w:val="000000"/>
          <w:sz w:val="24"/>
          <w:szCs w:val="24"/>
          <w:lang w:val="en-US"/>
        </w:rPr>
        <w:t>自动进入下一投资周期进行理财运作。</w:t>
      </w:r>
    </w:p>
    <w:p>
      <w:pPr>
        <w:widowControl/>
        <w:numPr>
          <w:ilvl w:val="0"/>
          <w:numId w:val="0"/>
        </w:numPr>
        <w:autoSpaceDN w:val="0"/>
        <w:spacing w:line="360" w:lineRule="atLeast"/>
        <w:jc w:val="both"/>
        <w:rPr>
          <w:rFonts w:hint="eastAsia" w:ascii="楷体" w:hAnsi="楷体" w:eastAsia="楷体" w:cs="楷体"/>
          <w:b/>
          <w:bCs/>
          <w:color w:val="000000"/>
          <w:sz w:val="24"/>
        </w:rPr>
      </w:pPr>
      <w:r>
        <w:rPr>
          <w:rFonts w:hint="eastAsia" w:ascii="楷体" w:hAnsi="楷体" w:eastAsia="楷体" w:cs="楷体"/>
          <w:color w:val="000000"/>
          <w:sz w:val="24"/>
          <w:szCs w:val="24"/>
          <w:lang w:val="en-US" w:eastAsia="zh-CN"/>
        </w:rPr>
        <w:t>4.</w:t>
      </w:r>
      <w:r>
        <w:rPr>
          <w:rFonts w:hint="eastAsia" w:ascii="楷体" w:hAnsi="楷体" w:eastAsia="楷体" w:cs="楷体"/>
          <w:color w:val="000000"/>
          <w:sz w:val="24"/>
        </w:rPr>
        <w:t>本理财产品为净值型理财产品，不保证本金和收益，不同于将资金作为存款存入银行，本产品具有投资性质，由于各种风险因素的存在，预期的规避风险、获利等交易目标不一定能够实现，本金也可能会因市场变动而蒙受重大损失。</w:t>
      </w:r>
      <w:r>
        <w:rPr>
          <w:rFonts w:hint="eastAsia" w:ascii="楷体" w:hAnsi="楷体" w:eastAsia="楷体" w:cs="楷体"/>
          <w:b/>
          <w:bCs/>
          <w:color w:val="000000"/>
          <w:sz w:val="24"/>
        </w:rPr>
        <w:t>在购买本产品前，您应认真阅读本理财产品说明书，确保完全明白该项投资的性质和所涉及的风险，详细了解和审慎评估该理财产品的资金投资方向、风险类型和收益等基本情况，在慎重考虑后自行决定购买与自身风险承受能力和资产管理需求匹配的理财产品。</w:t>
      </w:r>
    </w:p>
    <w:p>
      <w:pPr>
        <w:autoSpaceDN w:val="0"/>
        <w:spacing w:line="360" w:lineRule="atLeast"/>
        <w:ind w:firstLine="422"/>
        <w:jc w:val="both"/>
        <w:rPr>
          <w:rFonts w:hint="eastAsia" w:ascii="楷体" w:hAnsi="楷体" w:eastAsia="楷体" w:cs="楷体"/>
          <w:color w:val="000000"/>
          <w:sz w:val="24"/>
          <w:szCs w:val="24"/>
          <w:lang w:val="en-US"/>
        </w:rPr>
      </w:pPr>
    </w:p>
    <w:p>
      <w:pPr>
        <w:autoSpaceDN w:val="0"/>
        <w:spacing w:line="360" w:lineRule="atLeast"/>
        <w:ind w:firstLine="422"/>
        <w:jc w:val="both"/>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 xml:space="preserve">                                              江苏张家港农村商业银行股份有限公司</w:t>
      </w:r>
    </w:p>
    <w:p>
      <w:pPr>
        <w:autoSpaceDN w:val="0"/>
        <w:jc w:val="both"/>
        <w:rPr>
          <w:rFonts w:hint="default" w:ascii="Calibri" w:hAnsi="宋体"/>
          <w:color w:val="000000"/>
          <w:sz w:val="21"/>
          <w:lang w:val="en-US"/>
        </w:rPr>
      </w:pPr>
    </w:p>
    <w:p>
      <w:pPr>
        <w:autoSpaceDN w:val="0"/>
        <w:snapToGrid w:val="0"/>
        <w:spacing w:before="3" w:line="283" w:lineRule="auto"/>
        <w:ind w:left="220" w:right="494" w:firstLine="260"/>
        <w:jc w:val="both"/>
        <w:rPr>
          <w:rFonts w:hint="default" w:ascii="Calibri" w:hAnsi="宋体"/>
          <w:color w:val="000000"/>
          <w:sz w:val="21"/>
          <w:lang w:val="en-US"/>
        </w:rPr>
      </w:pPr>
    </w:p>
    <w:p>
      <w:pPr>
        <w:autoSpaceDN w:val="0"/>
        <w:snapToGrid w:val="0"/>
        <w:spacing w:before="3" w:line="283" w:lineRule="auto"/>
        <w:ind w:left="220" w:right="494" w:firstLine="260"/>
        <w:jc w:val="both"/>
        <w:rPr>
          <w:rFonts w:hint="default" w:ascii="Calibri" w:hAnsi="宋体"/>
          <w:color w:val="000000"/>
          <w:sz w:val="21"/>
          <w:lang w:val="en-US"/>
        </w:rPr>
      </w:pPr>
    </w:p>
    <w:p>
      <w:pPr>
        <w:autoSpaceDN w:val="0"/>
        <w:snapToGrid w:val="0"/>
        <w:spacing w:before="3" w:line="283" w:lineRule="auto"/>
        <w:ind w:left="220" w:right="494" w:firstLine="260"/>
        <w:jc w:val="both"/>
        <w:rPr>
          <w:rFonts w:hint="default" w:ascii="Calibri" w:hAnsi="宋体"/>
          <w:color w:val="000000"/>
          <w:sz w:val="21"/>
          <w:lang w:val="en-US"/>
        </w:rPr>
      </w:pPr>
    </w:p>
    <w:p>
      <w:pPr>
        <w:rPr>
          <w:rFonts w:hint="default"/>
          <w:color w:val="000000"/>
          <w:sz w:val="36"/>
          <w:szCs w:val="36"/>
          <w:lang w:val="en-US"/>
        </w:rPr>
      </w:pPr>
    </w:p>
    <w:p>
      <w:pPr>
        <w:ind w:right="0"/>
        <w:jc w:val="center"/>
        <w:rPr>
          <w:rFonts w:hint="default" w:ascii="方正大标宋简体" w:hAnsi="宋体" w:eastAsia="方正大标宋简体"/>
          <w:b/>
          <w:color w:val="000000"/>
          <w:sz w:val="36"/>
          <w:szCs w:val="36"/>
          <w:lang w:val="en-US" w:eastAsia="zh-CN"/>
        </w:rPr>
      </w:pPr>
    </w:p>
    <w:p>
      <w:pPr>
        <w:ind w:right="0"/>
        <w:jc w:val="center"/>
        <w:rPr>
          <w:rFonts w:hint="default" w:ascii="方正大标宋简体" w:hAnsi="宋体" w:eastAsia="方正大标宋简体"/>
          <w:b/>
          <w:color w:val="000000"/>
          <w:sz w:val="36"/>
          <w:szCs w:val="36"/>
          <w:lang w:val="en-US"/>
        </w:rPr>
      </w:pPr>
      <w:r>
        <w:rPr>
          <w:rFonts w:hint="default" w:ascii="方正大标宋简体" w:hAnsi="宋体" w:eastAsia="方正大标宋简体"/>
          <w:b/>
          <w:color w:val="000000"/>
          <w:sz w:val="36"/>
          <w:szCs w:val="36"/>
          <w:lang w:val="en-US" w:eastAsia="zh-CN"/>
        </w:rPr>
        <w:t>金港湾悠享周开1号</w:t>
      </w:r>
      <w:r>
        <w:rPr>
          <w:rFonts w:hint="default" w:ascii="方正大标宋简体" w:hAnsi="宋体" w:eastAsia="方正大标宋简体"/>
          <w:b/>
          <w:color w:val="000000"/>
          <w:sz w:val="36"/>
          <w:szCs w:val="36"/>
          <w:lang w:val="en-US"/>
        </w:rPr>
        <w:t>净值型人民币理财产品说明书</w:t>
      </w:r>
    </w:p>
    <w:p>
      <w:pPr>
        <w:ind w:right="0"/>
        <w:jc w:val="center"/>
        <w:rPr>
          <w:rFonts w:hint="default" w:ascii="方正大标宋简体" w:hAnsi="宋体" w:eastAsia="方正大标宋简体"/>
          <w:b/>
          <w:i/>
          <w:iCs/>
          <w:color w:val="000000"/>
          <w:sz w:val="36"/>
          <w:szCs w:val="36"/>
          <w:u w:val="single"/>
          <w:lang w:val="en-US"/>
        </w:rPr>
      </w:pPr>
      <w:r>
        <w:rPr>
          <w:rFonts w:hint="default" w:ascii="方正大标宋简体" w:hAnsi="宋体" w:eastAsia="方正大标宋简体"/>
          <w:b/>
          <w:i/>
          <w:iCs/>
          <w:color w:val="000000"/>
          <w:sz w:val="36"/>
          <w:szCs w:val="36"/>
          <w:u w:val="single"/>
          <w:lang w:val="en-US"/>
        </w:rPr>
        <w:t>理财非存款、产品有风险、投资须谨慎!</w:t>
      </w:r>
    </w:p>
    <w:p>
      <w:pPr>
        <w:spacing w:line="240" w:lineRule="auto"/>
        <w:ind w:right="0" w:firstLine="720" w:firstLineChars="200"/>
        <w:jc w:val="center"/>
        <w:rPr>
          <w:rFonts w:hint="default" w:ascii="微软雅黑" w:hAnsi="微软雅黑" w:eastAsia="微软雅黑" w:cs="微软雅黑"/>
          <w:b/>
          <w:bCs/>
          <w:i/>
          <w:iCs/>
          <w:color w:val="000000"/>
          <w:sz w:val="36"/>
          <w:szCs w:val="36"/>
          <w:u w:val="single"/>
          <w:lang w:val="en-US"/>
        </w:rPr>
      </w:pPr>
    </w:p>
    <w:p>
      <w:pPr>
        <w:numPr>
          <w:ilvl w:val="255"/>
          <w:numId w:val="0"/>
        </w:numPr>
        <w:spacing w:line="360" w:lineRule="exact"/>
        <w:ind w:firstLine="482" w:firstLineChars="201"/>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张家港农村商业银行销售的理财产品与存款存在明显区别，具有一定的风险。张家港农村商业银行郑重提示：</w:t>
      </w:r>
      <w:r>
        <w:rPr>
          <w:rFonts w:hint="eastAsia" w:ascii="楷体" w:hAnsi="楷体" w:eastAsia="楷体" w:cs="楷体"/>
          <w:sz w:val="24"/>
          <w:szCs w:val="24"/>
          <w:highlight w:val="none"/>
          <w:lang w:eastAsia="zh-CN"/>
        </w:rPr>
        <w:t>理财非存款，产品有风险，投资须谨慎</w:t>
      </w:r>
      <w:r>
        <w:rPr>
          <w:rFonts w:hint="eastAsia" w:ascii="楷体" w:hAnsi="楷体" w:eastAsia="楷体" w:cs="楷体"/>
          <w:sz w:val="24"/>
          <w:szCs w:val="24"/>
          <w:highlight w:val="none"/>
        </w:rPr>
        <w:t>。理财产品过往业绩不代表其未来表现，不等于理财产品实际收益</w:t>
      </w:r>
      <w:r>
        <w:rPr>
          <w:rFonts w:hint="eastAsia" w:ascii="楷体" w:hAnsi="楷体" w:eastAsia="楷体" w:cs="楷体"/>
          <w:sz w:val="24"/>
          <w:szCs w:val="24"/>
          <w:highlight w:val="none"/>
          <w:lang w:eastAsia="zh-CN"/>
        </w:rPr>
        <w:t>。</w:t>
      </w:r>
    </w:p>
    <w:p>
      <w:pPr>
        <w:numPr>
          <w:ilvl w:val="255"/>
          <w:numId w:val="0"/>
        </w:numPr>
        <w:ind w:firstLine="484" w:firstLineChars="201"/>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本</w:t>
      </w:r>
      <w:r>
        <w:rPr>
          <w:rFonts w:hint="eastAsia" w:ascii="楷体" w:hAnsi="楷体" w:eastAsia="楷体" w:cs="楷体"/>
          <w:b/>
          <w:bCs/>
          <w:sz w:val="24"/>
          <w:szCs w:val="24"/>
          <w:highlight w:val="none"/>
          <w:lang w:eastAsia="zh-CN"/>
        </w:rPr>
        <w:t>理财</w:t>
      </w:r>
      <w:r>
        <w:rPr>
          <w:rFonts w:hint="eastAsia" w:ascii="楷体" w:hAnsi="楷体" w:eastAsia="楷体" w:cs="楷体"/>
          <w:b/>
          <w:bCs/>
          <w:sz w:val="24"/>
          <w:szCs w:val="24"/>
          <w:highlight w:val="none"/>
        </w:rPr>
        <w:t>产品说明书与</w:t>
      </w:r>
      <w:r>
        <w:rPr>
          <w:rFonts w:hint="eastAsia" w:ascii="楷体" w:hAnsi="楷体" w:eastAsia="楷体" w:cs="楷体"/>
          <w:b/>
          <w:bCs/>
          <w:sz w:val="24"/>
          <w:szCs w:val="24"/>
          <w:highlight w:val="none"/>
          <w:lang w:eastAsia="zh-CN"/>
        </w:rPr>
        <w:t>本理财产品的投资协议书、销售协议书、</w:t>
      </w:r>
      <w:r>
        <w:rPr>
          <w:rFonts w:hint="eastAsia" w:ascii="楷体" w:hAnsi="楷体" w:eastAsia="楷体" w:cs="楷体"/>
          <w:b/>
          <w:bCs/>
          <w:sz w:val="24"/>
          <w:szCs w:val="24"/>
          <w:highlight w:val="none"/>
        </w:rPr>
        <w:t>风险揭示书、</w:t>
      </w:r>
      <w:r>
        <w:rPr>
          <w:rFonts w:hint="eastAsia" w:ascii="楷体" w:hAnsi="楷体" w:eastAsia="楷体" w:cs="楷体"/>
          <w:b/>
          <w:bCs/>
          <w:sz w:val="24"/>
          <w:szCs w:val="24"/>
          <w:highlight w:val="none"/>
          <w:lang w:eastAsia="zh-CN"/>
        </w:rPr>
        <w:t>投资者</w:t>
      </w:r>
      <w:r>
        <w:rPr>
          <w:rFonts w:hint="eastAsia" w:ascii="楷体" w:hAnsi="楷体" w:eastAsia="楷体" w:cs="楷体"/>
          <w:b/>
          <w:bCs/>
          <w:sz w:val="24"/>
          <w:szCs w:val="24"/>
          <w:highlight w:val="none"/>
        </w:rPr>
        <w:t>权益须知共同构成完整的不可分割的理财合同</w:t>
      </w:r>
      <w:r>
        <w:rPr>
          <w:rFonts w:hint="eastAsia" w:ascii="楷体" w:hAnsi="楷体" w:eastAsia="楷体" w:cs="楷体"/>
          <w:b/>
          <w:bCs/>
          <w:sz w:val="24"/>
          <w:szCs w:val="24"/>
          <w:highlight w:val="none"/>
          <w:lang w:eastAsia="zh-CN"/>
        </w:rPr>
        <w:t>，《理财产品投资协议书》、《理财产品销售协议书》</w:t>
      </w:r>
      <w:r>
        <w:rPr>
          <w:rFonts w:hint="eastAsia" w:ascii="楷体" w:hAnsi="楷体" w:eastAsia="楷体" w:cs="楷体"/>
          <w:b/>
          <w:bCs/>
          <w:sz w:val="24"/>
          <w:szCs w:val="24"/>
          <w:highlight w:val="none"/>
        </w:rPr>
        <w:t>、</w:t>
      </w:r>
      <w:r>
        <w:rPr>
          <w:rFonts w:hint="eastAsia" w:ascii="楷体" w:hAnsi="楷体" w:eastAsia="楷体" w:cs="楷体"/>
          <w:b/>
          <w:bCs/>
          <w:sz w:val="24"/>
          <w:szCs w:val="24"/>
          <w:highlight w:val="none"/>
          <w:lang w:eastAsia="zh-CN"/>
        </w:rPr>
        <w:t>《</w:t>
      </w:r>
      <w:r>
        <w:rPr>
          <w:rFonts w:hint="eastAsia" w:ascii="楷体" w:hAnsi="楷体" w:eastAsia="楷体" w:cs="楷体"/>
          <w:b/>
          <w:bCs/>
          <w:sz w:val="24"/>
          <w:szCs w:val="24"/>
          <w:highlight w:val="none"/>
        </w:rPr>
        <w:t>风险揭示书</w:t>
      </w:r>
      <w:r>
        <w:rPr>
          <w:rFonts w:hint="eastAsia" w:ascii="楷体" w:hAnsi="楷体" w:eastAsia="楷体" w:cs="楷体"/>
          <w:b/>
          <w:bCs/>
          <w:sz w:val="24"/>
          <w:szCs w:val="24"/>
          <w:highlight w:val="none"/>
          <w:lang w:eastAsia="zh-CN"/>
        </w:rPr>
        <w:t>》</w:t>
      </w:r>
      <w:r>
        <w:rPr>
          <w:rFonts w:hint="eastAsia" w:ascii="楷体" w:hAnsi="楷体" w:eastAsia="楷体" w:cs="楷体"/>
          <w:b/>
          <w:bCs/>
          <w:sz w:val="24"/>
          <w:szCs w:val="24"/>
          <w:highlight w:val="none"/>
        </w:rPr>
        <w:t>、</w:t>
      </w:r>
      <w:r>
        <w:rPr>
          <w:rFonts w:hint="eastAsia" w:ascii="楷体" w:hAnsi="楷体" w:eastAsia="楷体" w:cs="楷体"/>
          <w:b/>
          <w:bCs/>
          <w:sz w:val="24"/>
          <w:szCs w:val="24"/>
          <w:highlight w:val="none"/>
          <w:lang w:eastAsia="zh-CN"/>
        </w:rPr>
        <w:t>《</w:t>
      </w:r>
      <w:r>
        <w:rPr>
          <w:rFonts w:hint="eastAsia" w:ascii="楷体" w:hAnsi="楷体" w:eastAsia="楷体" w:cs="楷体"/>
          <w:b/>
          <w:bCs/>
          <w:sz w:val="24"/>
          <w:szCs w:val="24"/>
          <w:highlight w:val="none"/>
        </w:rPr>
        <w:t>投资者权益须知</w:t>
      </w:r>
      <w:r>
        <w:rPr>
          <w:rFonts w:hint="eastAsia" w:ascii="楷体" w:hAnsi="楷体" w:eastAsia="楷体" w:cs="楷体"/>
          <w:b/>
          <w:bCs/>
          <w:sz w:val="24"/>
          <w:szCs w:val="24"/>
          <w:highlight w:val="none"/>
          <w:lang w:eastAsia="zh-CN"/>
        </w:rPr>
        <w:t>》</w:t>
      </w:r>
      <w:r>
        <w:rPr>
          <w:rFonts w:hint="eastAsia" w:ascii="楷体" w:hAnsi="楷体" w:eastAsia="楷体" w:cs="楷体"/>
          <w:b/>
          <w:bCs/>
          <w:sz w:val="24"/>
          <w:szCs w:val="24"/>
          <w:highlight w:val="none"/>
        </w:rPr>
        <w:t>与本协议具有同等法律效力。在购买本产品前，您应认真阅读本理财产品</w:t>
      </w:r>
      <w:r>
        <w:rPr>
          <w:rFonts w:hint="eastAsia" w:ascii="楷体" w:hAnsi="楷体" w:eastAsia="楷体" w:cs="楷体"/>
          <w:b/>
          <w:bCs/>
          <w:sz w:val="24"/>
          <w:szCs w:val="24"/>
          <w:highlight w:val="none"/>
          <w:lang w:eastAsia="zh-CN"/>
        </w:rPr>
        <w:t>说明书</w:t>
      </w:r>
      <w:r>
        <w:rPr>
          <w:rFonts w:hint="eastAsia" w:ascii="楷体" w:hAnsi="楷体" w:eastAsia="楷体" w:cs="楷体"/>
          <w:b/>
          <w:bCs/>
          <w:sz w:val="24"/>
          <w:szCs w:val="24"/>
          <w:highlight w:val="none"/>
        </w:rPr>
        <w:t>，</w:t>
      </w:r>
      <w:r>
        <w:rPr>
          <w:rFonts w:hint="eastAsia" w:ascii="楷体" w:hAnsi="楷体" w:eastAsia="楷体" w:cs="楷体"/>
          <w:b/>
          <w:bCs/>
          <w:sz w:val="24"/>
          <w:szCs w:val="24"/>
          <w:highlight w:val="none"/>
          <w:lang w:eastAsia="zh-CN"/>
        </w:rPr>
        <w:t>确保完全明白该项投资的性质和所涉及的风险，详细了解和审慎评估该理财产品的资金投资方向、风险类型和收益等基本情况，在慎重考虑后自行决定购买与自身风险承受能力和资产管理需求匹配的理财产品。</w:t>
      </w:r>
      <w:r>
        <w:rPr>
          <w:rFonts w:hint="eastAsia" w:ascii="楷体" w:hAnsi="楷体" w:eastAsia="楷体" w:cs="楷体"/>
          <w:b/>
          <w:bCs/>
          <w:sz w:val="24"/>
          <w:szCs w:val="24"/>
          <w:highlight w:val="none"/>
        </w:rPr>
        <w:t>如果投资者不同意本</w:t>
      </w:r>
      <w:r>
        <w:rPr>
          <w:rFonts w:hint="eastAsia" w:ascii="楷体" w:hAnsi="楷体" w:eastAsia="楷体" w:cs="楷体"/>
          <w:b/>
          <w:bCs/>
          <w:sz w:val="24"/>
          <w:szCs w:val="24"/>
          <w:highlight w:val="none"/>
          <w:lang w:eastAsia="zh-CN"/>
        </w:rPr>
        <w:t>理财产品说明书</w:t>
      </w:r>
      <w:r>
        <w:rPr>
          <w:rFonts w:hint="eastAsia" w:ascii="楷体" w:hAnsi="楷体" w:eastAsia="楷体" w:cs="楷体"/>
          <w:b/>
          <w:bCs/>
          <w:sz w:val="24"/>
          <w:szCs w:val="24"/>
          <w:highlight w:val="none"/>
        </w:rPr>
        <w:t>的任何内容，或者无法准确理解相关条款的解释，请不要进行后续操作。若对本理财产品</w:t>
      </w:r>
      <w:r>
        <w:rPr>
          <w:rFonts w:hint="eastAsia" w:ascii="楷体" w:hAnsi="楷体" w:eastAsia="楷体" w:cs="楷体"/>
          <w:b/>
          <w:bCs/>
          <w:sz w:val="24"/>
          <w:szCs w:val="24"/>
          <w:highlight w:val="none"/>
          <w:lang w:eastAsia="zh-CN"/>
        </w:rPr>
        <w:t>说明书</w:t>
      </w:r>
      <w:r>
        <w:rPr>
          <w:rFonts w:hint="eastAsia" w:ascii="楷体" w:hAnsi="楷体" w:eastAsia="楷体" w:cs="楷体"/>
          <w:b/>
          <w:bCs/>
          <w:sz w:val="24"/>
          <w:szCs w:val="24"/>
          <w:highlight w:val="none"/>
        </w:rPr>
        <w:t>的内容有任何疑问，请向张家港农村商业银行营业网点咨询。本</w:t>
      </w:r>
      <w:r>
        <w:rPr>
          <w:rFonts w:hint="eastAsia" w:ascii="楷体" w:hAnsi="楷体" w:eastAsia="楷体" w:cs="楷体"/>
          <w:b/>
          <w:bCs/>
          <w:sz w:val="24"/>
          <w:szCs w:val="24"/>
          <w:highlight w:val="none"/>
          <w:lang w:eastAsia="zh-CN"/>
        </w:rPr>
        <w:t>理财</w:t>
      </w:r>
      <w:r>
        <w:rPr>
          <w:rFonts w:hint="eastAsia" w:ascii="楷体" w:hAnsi="楷体" w:eastAsia="楷体" w:cs="楷体"/>
          <w:b/>
          <w:bCs/>
          <w:sz w:val="24"/>
          <w:szCs w:val="24"/>
          <w:highlight w:val="none"/>
        </w:rPr>
        <w:t>产品说明书在法律许可的范围内由张家港农村商业银行负责解释。</w:t>
      </w:r>
    </w:p>
    <w:p>
      <w:pPr>
        <w:numPr>
          <w:ilvl w:val="255"/>
          <w:numId w:val="0"/>
        </w:numPr>
        <w:spacing w:line="360" w:lineRule="exact"/>
        <w:ind w:firstLine="482" w:firstLineChars="201"/>
        <w:rPr>
          <w:rFonts w:ascii="楷体" w:hAnsi="楷体" w:eastAsia="楷体" w:cs="楷体"/>
          <w:sz w:val="24"/>
        </w:rPr>
      </w:pPr>
      <w:r>
        <w:rPr>
          <w:rFonts w:hint="eastAsia" w:ascii="楷体" w:hAnsi="楷体" w:eastAsia="楷体" w:cs="楷体"/>
          <w:sz w:val="24"/>
        </w:rPr>
        <w:t>产品管理人保证《理财产品说明书》的内容真实、准确，但并不表明投资于本产品没有风险。产品管理人承诺依照诚实信用、勤勉尽责的原则，谨慎、有效地管理和运用本产品资产，但不保证本产品一定盈利，也不保证最低收益。本产品在发生不利情况下（可能但不一定发生），客户可能无法取得收益，并可能面临损失本金的风险。您应认真阅读本说明书内容，基于自身的独立判断进行投资决策。</w:t>
      </w:r>
    </w:p>
    <w:p>
      <w:pPr>
        <w:numPr>
          <w:ilvl w:val="255"/>
          <w:numId w:val="0"/>
        </w:numPr>
        <w:spacing w:line="360" w:lineRule="exact"/>
        <w:ind w:firstLine="482" w:firstLineChars="201"/>
        <w:rPr>
          <w:rFonts w:ascii="楷体" w:hAnsi="楷体" w:eastAsia="楷体" w:cs="楷体"/>
          <w:sz w:val="24"/>
        </w:rPr>
      </w:pPr>
      <w:r>
        <w:rPr>
          <w:rFonts w:hint="eastAsia" w:ascii="楷体" w:hAnsi="楷体" w:eastAsia="楷体" w:cs="楷体"/>
          <w:sz w:val="24"/>
        </w:rPr>
        <w:t>购买理财产品后，投资者应随时关注该理财产品的信息披露情况，及时、主动获取相关信息。</w:t>
      </w:r>
    </w:p>
    <w:p>
      <w:pPr>
        <w:autoSpaceDE w:val="0"/>
        <w:autoSpaceDN w:val="0"/>
        <w:adjustRightInd w:val="0"/>
        <w:spacing w:line="360" w:lineRule="exact"/>
        <w:ind w:firstLine="482" w:firstLineChars="201"/>
        <w:rPr>
          <w:rFonts w:ascii="楷体" w:hAnsi="楷体" w:eastAsia="楷体" w:cs="楷体"/>
          <w:sz w:val="24"/>
        </w:rPr>
      </w:pPr>
      <w:r>
        <w:rPr>
          <w:rFonts w:hint="eastAsia" w:ascii="楷体" w:hAnsi="楷体" w:eastAsia="楷体" w:cs="楷体"/>
          <w:sz w:val="24"/>
        </w:rPr>
        <w:t>若投资者对本理财产品有任何异议或意见，请联系张家港农村商业银行的理财经理或反馈张家港农村商业银行各营业网点，也可致电张家港农村商业银行投资者服务热线（0512-96065）。</w:t>
      </w:r>
    </w:p>
    <w:p>
      <w:pPr>
        <w:numPr>
          <w:ilvl w:val="0"/>
          <w:numId w:val="0"/>
        </w:numPr>
        <w:spacing w:line="360" w:lineRule="exact"/>
        <w:ind w:firstLine="482" w:firstLineChars="201"/>
        <w:rPr>
          <w:rFonts w:hint="eastAsia" w:ascii="楷体" w:hAnsi="楷体" w:eastAsia="楷体" w:cs="楷体"/>
          <w:color w:val="000000"/>
          <w:sz w:val="24"/>
          <w:szCs w:val="24"/>
          <w:lang w:val="en-US"/>
        </w:rPr>
      </w:pPr>
    </w:p>
    <w:p>
      <w:pPr>
        <w:numPr>
          <w:ilvl w:val="0"/>
          <w:numId w:val="0"/>
        </w:numPr>
        <w:spacing w:line="360" w:lineRule="exact"/>
        <w:ind w:firstLine="605" w:firstLineChars="201"/>
        <w:rPr>
          <w:rFonts w:hint="eastAsia" w:ascii="楷体" w:hAnsi="楷体" w:eastAsia="楷体" w:cs="楷体"/>
          <w:b/>
          <w:bCs/>
          <w:color w:val="000000"/>
          <w:sz w:val="30"/>
          <w:szCs w:val="30"/>
          <w:lang w:val="en-US" w:eastAsia="zh-CN"/>
        </w:rPr>
      </w:pPr>
      <w:r>
        <w:rPr>
          <w:rFonts w:hint="eastAsia" w:ascii="楷体" w:hAnsi="楷体" w:eastAsia="楷体" w:cs="楷体"/>
          <w:b/>
          <w:bCs/>
          <w:color w:val="000000"/>
          <w:sz w:val="30"/>
          <w:szCs w:val="30"/>
          <w:lang w:val="en-US"/>
        </w:rPr>
        <w:t>一、产品</w:t>
      </w:r>
      <w:r>
        <w:rPr>
          <w:rFonts w:hint="eastAsia" w:ascii="楷体" w:hAnsi="楷体" w:eastAsia="楷体" w:cs="楷体"/>
          <w:b/>
          <w:bCs/>
          <w:color w:val="000000"/>
          <w:sz w:val="30"/>
          <w:szCs w:val="30"/>
          <w:lang w:val="en-US" w:eastAsia="zh-CN"/>
        </w:rPr>
        <w:t>基本要素</w:t>
      </w:r>
    </w:p>
    <w:p>
      <w:pPr>
        <w:spacing w:line="360" w:lineRule="exact"/>
        <w:ind w:firstLine="484" w:firstLineChars="201"/>
        <w:rPr>
          <w:rFonts w:hint="default" w:ascii="楷体" w:hAnsi="楷体" w:eastAsia="楷体" w:cs="楷体"/>
          <w:b/>
          <w:bCs/>
          <w:color w:val="000000"/>
          <w:sz w:val="24"/>
          <w:szCs w:val="24"/>
          <w:lang w:val="en-US"/>
        </w:rPr>
      </w:pPr>
    </w:p>
    <w:tbl>
      <w:tblPr>
        <w:tblStyle w:val="4"/>
        <w:tblW w:w="103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5"/>
        <w:gridCol w:w="79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产品代码</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YX07D001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产品名称</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eastAsia="zh-CN"/>
              </w:rPr>
              <w:t>金港湾悠享周开1号</w:t>
            </w:r>
            <w:r>
              <w:rPr>
                <w:rFonts w:hint="eastAsia" w:ascii="楷体" w:hAnsi="楷体" w:eastAsia="楷体" w:cs="楷体"/>
                <w:color w:val="000000"/>
                <w:sz w:val="24"/>
                <w:szCs w:val="24"/>
                <w:lang w:val="en-US"/>
              </w:rPr>
              <w:t>净值型人民币理财产品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产品类型</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eastAsia="zh-CN"/>
              </w:rPr>
              <w:t>定期开放式、</w:t>
            </w:r>
            <w:r>
              <w:rPr>
                <w:rFonts w:hint="eastAsia" w:ascii="楷体" w:hAnsi="楷体" w:eastAsia="楷体" w:cs="楷体"/>
                <w:color w:val="000000"/>
                <w:sz w:val="24"/>
                <w:szCs w:val="24"/>
                <w:lang w:val="en-US"/>
              </w:rPr>
              <w:t>固定收益类</w:t>
            </w:r>
            <w:r>
              <w:rPr>
                <w:rFonts w:hint="eastAsia" w:ascii="楷体" w:hAnsi="楷体" w:eastAsia="楷体" w:cs="楷体"/>
                <w:color w:val="000000"/>
                <w:sz w:val="24"/>
                <w:szCs w:val="24"/>
                <w:lang w:val="en-US" w:eastAsia="zh-CN"/>
              </w:rPr>
              <w:t>、</w:t>
            </w:r>
            <w:r>
              <w:rPr>
                <w:rFonts w:hint="eastAsia" w:ascii="楷体" w:hAnsi="楷体" w:eastAsia="楷体" w:cs="楷体"/>
                <w:color w:val="000000"/>
                <w:sz w:val="24"/>
                <w:szCs w:val="24"/>
                <w:lang w:val="en-US"/>
              </w:rPr>
              <w:t>公募</w:t>
            </w:r>
            <w:r>
              <w:rPr>
                <w:rFonts w:hint="eastAsia" w:ascii="楷体" w:hAnsi="楷体" w:eastAsia="楷体" w:cs="楷体"/>
                <w:color w:val="000000"/>
                <w:sz w:val="24"/>
                <w:szCs w:val="24"/>
                <w:lang w:val="en-US" w:eastAsia="zh-CN"/>
              </w:rPr>
              <w:t>、净值型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销售系统代码</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eastAsia="zh-CN"/>
              </w:rPr>
              <w:t>YX07D001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收益类别</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非保本浮动收益型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sz w:val="24"/>
              </w:rPr>
              <w:t>全国银行业理财信息登记系统编码</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C1115619000092</w:t>
            </w:r>
          </w:p>
          <w:p>
            <w:pPr>
              <w:spacing w:line="360" w:lineRule="exact"/>
              <w:rPr>
                <w:rFonts w:hint="eastAsia" w:ascii="楷体" w:hAnsi="楷体" w:eastAsia="楷体" w:cs="楷体"/>
                <w:color w:val="000000"/>
                <w:sz w:val="24"/>
                <w:szCs w:val="24"/>
                <w:lang w:val="en-US"/>
              </w:rPr>
            </w:pPr>
            <w:r>
              <w:rPr>
                <w:rFonts w:hint="eastAsia" w:ascii="楷体" w:hAnsi="楷体" w:eastAsia="楷体" w:cs="楷体"/>
                <w:sz w:val="24"/>
              </w:rPr>
              <w:t>投资者可依据该登记编码在中国理财网（www.chinawealth.com.cn)上查询产品信息。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销售对象</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面向个人和机构投资者销售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eastAsia="zh-CN"/>
              </w:rPr>
              <w:t>产品</w:t>
            </w:r>
            <w:r>
              <w:rPr>
                <w:rFonts w:hint="eastAsia" w:ascii="楷体" w:hAnsi="楷体" w:eastAsia="楷体" w:cs="楷体"/>
                <w:color w:val="000000"/>
                <w:sz w:val="24"/>
                <w:szCs w:val="24"/>
                <w:lang w:val="en-US"/>
              </w:rPr>
              <w:t>内部风险评级</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sz w:val="24"/>
              </w:rPr>
              <w:t>中低风险（二级★★），风险程度属中低风险级别，适合于稳健型及以上投资者。该产品总体风险程度较低，收益波动较小，虽然存在一些可能对产品本金和收益安全产生不利影响的因素，但产品本金出现损失的可能性较小。（本风险等级为管理人对理财产品内部风险评估结果，仅供投资者参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理财币种</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产品规模上限/下限</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产品认购/存续规模下限</w:t>
            </w:r>
            <w:r>
              <w:rPr>
                <w:rFonts w:hint="eastAsia" w:ascii="楷体" w:hAnsi="楷体" w:eastAsia="楷体" w:cs="楷体"/>
                <w:color w:val="000000"/>
                <w:sz w:val="24"/>
                <w:szCs w:val="24"/>
                <w:lang w:val="en-US" w:eastAsia="zh-CN"/>
              </w:rPr>
              <w:t>1000</w:t>
            </w:r>
            <w:r>
              <w:rPr>
                <w:rFonts w:hint="eastAsia" w:ascii="楷体" w:hAnsi="楷体" w:eastAsia="楷体" w:cs="楷体"/>
                <w:color w:val="000000"/>
                <w:sz w:val="24"/>
                <w:szCs w:val="24"/>
                <w:lang w:val="en-US"/>
              </w:rPr>
              <w:t>万元，上限200000万元。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highlight w:val="none"/>
                <w:lang w:val="en-US"/>
              </w:rPr>
            </w:pPr>
            <w:r>
              <w:rPr>
                <w:rFonts w:hint="eastAsia" w:ascii="楷体" w:hAnsi="楷体" w:eastAsia="楷体" w:cs="楷体"/>
                <w:color w:val="000000"/>
                <w:sz w:val="24"/>
                <w:szCs w:val="24"/>
                <w:highlight w:val="none"/>
                <w:lang w:val="en-US" w:eastAsia="zh-CN"/>
              </w:rPr>
              <w:t>投资</w:t>
            </w:r>
            <w:r>
              <w:rPr>
                <w:rFonts w:hint="eastAsia" w:ascii="楷体" w:hAnsi="楷体" w:eastAsia="楷体" w:cs="楷体"/>
                <w:color w:val="000000"/>
                <w:sz w:val="24"/>
                <w:szCs w:val="24"/>
                <w:highlight w:val="none"/>
                <w:lang w:val="en-US"/>
              </w:rPr>
              <w:t>起点金额</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rPr>
              <w:t>起点金额</w:t>
            </w:r>
            <w:r>
              <w:rPr>
                <w:rFonts w:hint="eastAsia" w:ascii="楷体" w:hAnsi="楷体" w:eastAsia="楷体" w:cs="楷体"/>
                <w:color w:val="000000"/>
                <w:sz w:val="24"/>
                <w:szCs w:val="24"/>
                <w:highlight w:val="none"/>
                <w:lang w:val="en-US" w:eastAsia="zh-CN"/>
              </w:rPr>
              <w:t>1</w:t>
            </w:r>
            <w:r>
              <w:rPr>
                <w:rFonts w:hint="eastAsia" w:ascii="楷体" w:hAnsi="楷体" w:eastAsia="楷体" w:cs="楷体"/>
                <w:color w:val="000000"/>
                <w:sz w:val="24"/>
                <w:szCs w:val="24"/>
                <w:highlight w:val="none"/>
                <w:lang w:val="en-US"/>
              </w:rPr>
              <w:t>万元人民币,以</w:t>
            </w:r>
            <w:r>
              <w:rPr>
                <w:rFonts w:hint="eastAsia" w:ascii="楷体" w:hAnsi="楷体" w:eastAsia="楷体" w:cs="楷体"/>
                <w:color w:val="000000"/>
                <w:sz w:val="24"/>
                <w:szCs w:val="24"/>
                <w:highlight w:val="none"/>
                <w:lang w:val="en-US" w:eastAsia="zh-CN"/>
              </w:rPr>
              <w:t>1000</w:t>
            </w:r>
            <w:r>
              <w:rPr>
                <w:rFonts w:hint="eastAsia" w:ascii="楷体" w:hAnsi="楷体" w:eastAsia="楷体" w:cs="楷体"/>
                <w:color w:val="000000"/>
                <w:sz w:val="24"/>
                <w:szCs w:val="24"/>
                <w:highlight w:val="none"/>
                <w:lang w:val="en-US"/>
              </w:rPr>
              <w:t>的整数倍递增</w:t>
            </w:r>
            <w:r>
              <w:rPr>
                <w:rFonts w:hint="eastAsia" w:ascii="楷体" w:hAnsi="楷体" w:eastAsia="楷体" w:cs="楷体"/>
                <w:color w:val="000000"/>
                <w:sz w:val="24"/>
                <w:szCs w:val="24"/>
                <w:highlight w:val="none"/>
                <w:lang w:val="en-US" w:eastAsia="zh-CN"/>
              </w:rPr>
              <w:t>；</w:t>
            </w:r>
          </w:p>
          <w:p>
            <w:pPr>
              <w:spacing w:line="360" w:lineRule="exact"/>
              <w:rPr>
                <w:rFonts w:hint="eastAsia" w:ascii="楷体" w:hAnsi="楷体" w:eastAsia="楷体" w:cs="楷体"/>
                <w:color w:val="000000"/>
                <w:sz w:val="24"/>
                <w:szCs w:val="24"/>
                <w:highlight w:val="none"/>
                <w:lang w:val="en-US"/>
              </w:rPr>
            </w:pPr>
            <w:r>
              <w:rPr>
                <w:rFonts w:hint="eastAsia" w:ascii="楷体" w:hAnsi="楷体" w:eastAsia="楷体" w:cs="楷体"/>
                <w:color w:val="000000"/>
                <w:sz w:val="24"/>
                <w:szCs w:val="24"/>
                <w:highlight w:val="none"/>
                <w:lang w:val="en-US"/>
              </w:rPr>
              <w:t>后续在符合监管政策规定的条件下，张家港农村商业银行有权对上述起点金额和递增金额进行调整。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理财认购期</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rPr>
              <w:t>201</w:t>
            </w:r>
            <w:r>
              <w:rPr>
                <w:rFonts w:hint="eastAsia" w:ascii="楷体" w:hAnsi="楷体" w:eastAsia="楷体" w:cs="楷体"/>
                <w:color w:val="000000"/>
                <w:sz w:val="24"/>
                <w:szCs w:val="24"/>
                <w:lang w:val="en-US" w:eastAsia="zh-CN"/>
              </w:rPr>
              <w:t>9</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10</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23</w:t>
            </w:r>
            <w:r>
              <w:rPr>
                <w:rFonts w:hint="eastAsia" w:ascii="楷体" w:hAnsi="楷体" w:eastAsia="楷体" w:cs="楷体"/>
                <w:color w:val="000000"/>
                <w:sz w:val="24"/>
                <w:szCs w:val="24"/>
                <w:lang w:val="en-US"/>
              </w:rPr>
              <w:t>日至20</w:t>
            </w:r>
            <w:r>
              <w:rPr>
                <w:rFonts w:hint="eastAsia" w:ascii="楷体" w:hAnsi="楷体" w:eastAsia="楷体" w:cs="楷体"/>
                <w:color w:val="000000"/>
                <w:sz w:val="24"/>
                <w:szCs w:val="24"/>
                <w:lang w:val="en-US" w:eastAsia="zh-CN"/>
              </w:rPr>
              <w:t>19</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10</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28</w:t>
            </w:r>
            <w:r>
              <w:rPr>
                <w:rFonts w:hint="eastAsia" w:ascii="楷体" w:hAnsi="楷体" w:eastAsia="楷体" w:cs="楷体"/>
                <w:color w:val="000000"/>
                <w:sz w:val="24"/>
                <w:szCs w:val="24"/>
                <w:lang w:val="en-US"/>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产品起息日</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201</w:t>
            </w:r>
            <w:r>
              <w:rPr>
                <w:rFonts w:hint="eastAsia" w:ascii="楷体" w:hAnsi="楷体" w:eastAsia="楷体" w:cs="楷体"/>
                <w:color w:val="000000"/>
                <w:sz w:val="24"/>
                <w:szCs w:val="24"/>
                <w:lang w:val="en-US" w:eastAsia="zh-CN"/>
              </w:rPr>
              <w:t>9</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10</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29</w:t>
            </w:r>
            <w:r>
              <w:rPr>
                <w:rFonts w:hint="eastAsia" w:ascii="楷体" w:hAnsi="楷体" w:eastAsia="楷体" w:cs="楷体"/>
                <w:color w:val="000000"/>
                <w:sz w:val="24"/>
                <w:szCs w:val="24"/>
                <w:lang w:val="en-US"/>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产品封闭期</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2019年10月29日至2019年11月12日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产品</w:t>
            </w:r>
            <w:r>
              <w:rPr>
                <w:rFonts w:hint="eastAsia" w:ascii="楷体" w:hAnsi="楷体" w:eastAsia="楷体" w:cs="楷体"/>
                <w:color w:val="000000"/>
                <w:sz w:val="24"/>
                <w:szCs w:val="24"/>
                <w:lang w:val="en-US" w:eastAsia="zh-CN"/>
              </w:rPr>
              <w:t>存续</w:t>
            </w:r>
            <w:r>
              <w:rPr>
                <w:rFonts w:hint="eastAsia" w:ascii="楷体" w:hAnsi="楷体" w:eastAsia="楷体" w:cs="楷体"/>
                <w:color w:val="000000"/>
                <w:sz w:val="24"/>
                <w:szCs w:val="24"/>
                <w:lang w:val="en-US"/>
              </w:rPr>
              <w:t>期限</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rPr>
              <w:t>20年</w:t>
            </w:r>
            <w:r>
              <w:rPr>
                <w:rFonts w:hint="eastAsia" w:ascii="楷体" w:hAnsi="楷体" w:eastAsia="楷体" w:cs="楷体"/>
                <w:color w:val="000000"/>
                <w:sz w:val="24"/>
                <w:szCs w:val="24"/>
                <w:lang w:val="en-US" w:eastAsia="zh-CN"/>
              </w:rPr>
              <w:t>（以理财产品实际存续天数为准）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产品到期日</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rPr>
              <w:t>203</w:t>
            </w:r>
            <w:r>
              <w:rPr>
                <w:rFonts w:hint="eastAsia" w:ascii="楷体" w:hAnsi="楷体" w:eastAsia="楷体" w:cs="楷体"/>
                <w:color w:val="000000"/>
                <w:sz w:val="24"/>
                <w:szCs w:val="24"/>
                <w:lang w:val="en-US" w:eastAsia="zh-CN"/>
              </w:rPr>
              <w:t>9</w:t>
            </w:r>
            <w:r>
              <w:rPr>
                <w:rFonts w:hint="eastAsia" w:ascii="楷体" w:hAnsi="楷体" w:eastAsia="楷体" w:cs="楷体"/>
                <w:color w:val="000000"/>
                <w:sz w:val="24"/>
                <w:szCs w:val="24"/>
                <w:lang w:val="en-US"/>
              </w:rPr>
              <w:t>年</w:t>
            </w:r>
            <w:r>
              <w:rPr>
                <w:rFonts w:hint="eastAsia" w:ascii="楷体" w:hAnsi="楷体" w:eastAsia="楷体" w:cs="楷体"/>
                <w:color w:val="000000"/>
                <w:sz w:val="24"/>
                <w:szCs w:val="24"/>
                <w:lang w:val="en-US" w:eastAsia="zh-CN"/>
              </w:rPr>
              <w:t>10</w:t>
            </w:r>
            <w:r>
              <w:rPr>
                <w:rFonts w:hint="eastAsia" w:ascii="楷体" w:hAnsi="楷体" w:eastAsia="楷体" w:cs="楷体"/>
                <w:color w:val="000000"/>
                <w:sz w:val="24"/>
                <w:szCs w:val="24"/>
                <w:lang w:val="en-US"/>
              </w:rPr>
              <w:t>月</w:t>
            </w:r>
            <w:r>
              <w:rPr>
                <w:rFonts w:hint="eastAsia" w:ascii="楷体" w:hAnsi="楷体" w:eastAsia="楷体" w:cs="楷体"/>
                <w:color w:val="000000"/>
                <w:sz w:val="24"/>
                <w:szCs w:val="24"/>
                <w:lang w:val="en-US" w:eastAsia="zh-CN"/>
              </w:rPr>
              <w:t>28</w:t>
            </w:r>
            <w:r>
              <w:rPr>
                <w:rFonts w:hint="eastAsia" w:ascii="楷体" w:hAnsi="楷体" w:eastAsia="楷体" w:cs="楷体"/>
                <w:color w:val="000000"/>
                <w:sz w:val="24"/>
                <w:szCs w:val="24"/>
                <w:lang w:val="en-US"/>
              </w:rPr>
              <w:t>日</w:t>
            </w:r>
            <w:r>
              <w:rPr>
                <w:rFonts w:hint="eastAsia" w:ascii="楷体" w:hAnsi="楷体" w:eastAsia="楷体" w:cs="楷体"/>
                <w:color w:val="000000"/>
                <w:sz w:val="24"/>
                <w:szCs w:val="24"/>
                <w:lang w:val="en-US" w:eastAsia="zh-CN"/>
              </w:rPr>
              <w:t>（如遇非工作日，则顺延至下一个工作日）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rPr>
              <w:t>认购份额</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认购份额=认购金额/1元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产品开放期</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本产品计划封闭期过后每日（周末和法定节假日除外）开放申购和赎回，开放日交易时间为9:00-16:30。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清算确认日</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每周二为产品清算确认日（遇节假日顺延至次周二），具体清算确认日以公告为准。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投资周期</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当期清算确认日（含）至下一期清算确认日（不含）称为一个投资周期。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申购份额</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申购份额=申购确认金额/</w:t>
            </w:r>
            <w:r>
              <w:rPr>
                <w:rFonts w:hint="eastAsia" w:ascii="楷体" w:hAnsi="楷体" w:eastAsia="楷体" w:cs="楷体"/>
                <w:color w:val="000000"/>
                <w:sz w:val="24"/>
                <w:szCs w:val="24"/>
                <w:lang w:val="en-US" w:eastAsia="zh-CN"/>
              </w:rPr>
              <w:t>产品份额净值（确认日前一日的份额净值，已扣除产品托管费、固定管理费、超额业绩报酬（如有）及相关税费等，保留两位小数）</w:t>
            </w:r>
            <w:r>
              <w:rPr>
                <w:rFonts w:hint="eastAsia" w:ascii="楷体" w:hAnsi="楷体" w:eastAsia="楷体" w:cs="楷体"/>
                <w:color w:val="000000"/>
                <w:sz w:val="24"/>
                <w:szCs w:val="24"/>
                <w:lang w:val="en-US"/>
              </w:rPr>
              <w:t>。</w:t>
            </w:r>
          </w:p>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rPr>
              <w:t>申购份额保留至0.01份产品份额，小数点后两位以下四舍五入。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highlight w:val="none"/>
                <w:lang w:val="en-US"/>
              </w:rPr>
            </w:pPr>
            <w:r>
              <w:rPr>
                <w:rFonts w:hint="eastAsia" w:ascii="楷体" w:hAnsi="楷体" w:eastAsia="楷体" w:cs="楷体"/>
                <w:color w:val="000000"/>
                <w:sz w:val="24"/>
                <w:szCs w:val="24"/>
                <w:highlight w:val="none"/>
                <w:lang w:val="en-US"/>
              </w:rPr>
              <w:t>赎回金额</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highlight w:val="none"/>
                <w:lang w:val="en-US"/>
              </w:rPr>
            </w:pPr>
            <w:r>
              <w:rPr>
                <w:rFonts w:hint="eastAsia" w:ascii="楷体" w:hAnsi="楷体" w:eastAsia="楷体" w:cs="楷体"/>
                <w:color w:val="000000"/>
                <w:sz w:val="24"/>
                <w:szCs w:val="24"/>
                <w:lang w:val="en-US"/>
              </w:rPr>
              <w:t>赎回金额=赎回确认份额*</w:t>
            </w:r>
            <w:r>
              <w:rPr>
                <w:rFonts w:hint="eastAsia" w:ascii="楷体" w:hAnsi="楷体" w:eastAsia="楷体" w:cs="楷体"/>
                <w:color w:val="000000"/>
                <w:sz w:val="24"/>
                <w:szCs w:val="24"/>
                <w:lang w:val="en-US" w:eastAsia="zh-CN"/>
              </w:rPr>
              <w:t>产品份额净值（确认日前一日的份额净值，已扣除产品托管费、固定管理费、超额业绩报酬（如有），保留两位小数）。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赎回起点</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投资者最低赎回份额0.01份，按0.01份的整数倍递增；</w:t>
            </w:r>
          </w:p>
          <w:p>
            <w:pPr>
              <w:spacing w:line="360" w:lineRule="exact"/>
              <w:jc w:val="both"/>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赎回后投资者最低持有份额0.01份。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交易规则</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1、理财计划每日开放，每周二为清算确认日。本周二至次周一16点30分前的申购/赎回申请将于次周二确认。</w:t>
            </w:r>
          </w:p>
          <w:p>
            <w:pPr>
              <w:spacing w:line="360" w:lineRule="exact"/>
              <w:jc w:val="both"/>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本理财计划在每周期开放日工作时间均可进行申购/赎回，申购/赎回申请将在本周期清算确认日进行确认。开放期内的申购/赎回申请，在本周期产品清算确认日前一日下午16点30分前可以撤销。如清算确认日遇非工作日，则将进行顺延调整（具体清算确认日以公告为准）。</w:t>
            </w:r>
          </w:p>
          <w:p>
            <w:pPr>
              <w:spacing w:line="360" w:lineRule="exact"/>
              <w:jc w:val="both"/>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3、若</w:t>
            </w:r>
            <w:r>
              <w:rPr>
                <w:rFonts w:hint="eastAsia" w:ascii="楷体" w:hAnsi="楷体" w:eastAsia="楷体" w:cs="楷体"/>
                <w:color w:val="000000"/>
                <w:sz w:val="24"/>
                <w:szCs w:val="24"/>
                <w:lang w:val="en-US"/>
              </w:rPr>
              <w:t>投资者</w:t>
            </w:r>
            <w:r>
              <w:rPr>
                <w:rFonts w:hint="eastAsia" w:ascii="楷体" w:hAnsi="楷体" w:eastAsia="楷体" w:cs="楷体"/>
                <w:color w:val="000000"/>
                <w:sz w:val="24"/>
                <w:szCs w:val="24"/>
                <w:lang w:val="en-US" w:eastAsia="zh-CN"/>
              </w:rPr>
              <w:t>在一个投资周期内的开放期未提出赎回申请，则该理财资金自动进入下一个投资周期。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巨额赎回</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在开放期内，本产品的产品份额赎回申请之和超过上一清算确认日或认购确认日日终产品总份额的10%，为巨额赎回。当出现巨额赎回时，产品管理人可以视资产组合状况决定全部赎回或部分赎回。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资金到账日</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投资者赎回确认成功后，资金将于清算确认</w:t>
            </w:r>
            <w:r>
              <w:rPr>
                <w:rFonts w:hint="eastAsia" w:ascii="楷体" w:hAnsi="楷体" w:eastAsia="楷体" w:cs="楷体"/>
                <w:color w:val="auto"/>
                <w:sz w:val="24"/>
                <w:szCs w:val="24"/>
                <w:lang w:val="en-US"/>
              </w:rPr>
              <w:t>日后下一个工作日</w:t>
            </w:r>
            <w:r>
              <w:rPr>
                <w:rFonts w:hint="eastAsia" w:ascii="楷体" w:hAnsi="楷体" w:eastAsia="楷体" w:cs="楷体"/>
                <w:color w:val="000000"/>
                <w:sz w:val="24"/>
                <w:szCs w:val="24"/>
                <w:lang w:val="en-US" w:eastAsia="zh-CN"/>
              </w:rPr>
              <w:t>内</w:t>
            </w:r>
            <w:r>
              <w:rPr>
                <w:rFonts w:hint="eastAsia" w:ascii="楷体" w:hAnsi="楷体" w:eastAsia="楷体" w:cs="楷体"/>
                <w:color w:val="auto"/>
                <w:sz w:val="24"/>
                <w:szCs w:val="24"/>
                <w:lang w:val="en-US"/>
              </w:rPr>
              <w:t>到账。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资金兑付说明</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themeColor="text1"/>
                <w:sz w:val="24"/>
                <w:szCs w:val="24"/>
                <w:highlight w:val="none"/>
                <w14:textFill>
                  <w14:solidFill>
                    <w14:schemeClr w14:val="tx1"/>
                  </w14:solidFill>
                </w14:textFill>
              </w:rPr>
            </w:pPr>
            <w:r>
              <w:rPr>
                <w:rFonts w:hint="eastAsia" w:ascii="楷体" w:hAnsi="楷体" w:eastAsia="楷体" w:cs="楷体"/>
                <w:color w:val="000000" w:themeColor="text1"/>
                <w:sz w:val="24"/>
                <w:szCs w:val="24"/>
                <w:highlight w:val="none"/>
                <w14:textFill>
                  <w14:solidFill>
                    <w14:schemeClr w14:val="tx1"/>
                  </w14:solidFill>
                </w14:textFill>
              </w:rPr>
              <w:t>银行将在每个清算确认日后</w:t>
            </w:r>
            <w:r>
              <w:rPr>
                <w:rFonts w:hint="eastAsia" w:ascii="楷体" w:hAnsi="楷体" w:eastAsia="楷体" w:cs="楷体"/>
                <w:color w:val="000000" w:themeColor="text1"/>
                <w:sz w:val="24"/>
                <w:szCs w:val="24"/>
                <w:highlight w:val="none"/>
                <w:lang w:eastAsia="zh-CN"/>
                <w14:textFill>
                  <w14:solidFill>
                    <w14:schemeClr w14:val="tx1"/>
                  </w14:solidFill>
                </w14:textFill>
              </w:rPr>
              <w:t>两个工作日内</w:t>
            </w:r>
            <w:r>
              <w:rPr>
                <w:rFonts w:hint="eastAsia" w:ascii="楷体" w:hAnsi="楷体" w:eastAsia="楷体" w:cs="楷体"/>
                <w:color w:val="000000" w:themeColor="text1"/>
                <w:sz w:val="24"/>
                <w:szCs w:val="24"/>
                <w:highlight w:val="none"/>
                <w14:textFill>
                  <w14:solidFill>
                    <w14:schemeClr w14:val="tx1"/>
                  </w14:solidFill>
                </w14:textFill>
              </w:rPr>
              <w:t>（遇节假日顺延）按投资者赎回的理财产品份额和理财单位净值计算金额划入销售文件约定的投资者交易账户。</w:t>
            </w:r>
          </w:p>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themeColor="text1"/>
                <w:sz w:val="24"/>
                <w:szCs w:val="24"/>
                <w:highlight w:val="none"/>
                <w14:textFill>
                  <w14:solidFill>
                    <w14:schemeClr w14:val="tx1"/>
                  </w14:solidFill>
                </w14:textFill>
              </w:rPr>
              <w:t>如遇资金在途或法定工作日调整或系统故障等特殊情形时，最迟于资金到账日后2个工作日内到账（如遇节假日顺延）。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rPr>
              <w:t>业绩比较基准</w:t>
            </w:r>
            <w:r>
              <w:rPr>
                <w:rFonts w:hint="eastAsia" w:ascii="楷体" w:hAnsi="楷体" w:eastAsia="楷体" w:cs="楷体"/>
                <w:color w:val="000000"/>
                <w:sz w:val="24"/>
                <w:szCs w:val="24"/>
                <w:lang w:val="en-US" w:eastAsia="zh-CN"/>
              </w:rPr>
              <w:t>（年化）</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 w:hAnsi="楷体" w:eastAsia="楷体" w:cs="楷体"/>
                <w:color w:val="000000" w:themeColor="text1"/>
                <w:sz w:val="24"/>
                <w:highlight w:val="none"/>
                <w14:textFill>
                  <w14:solidFill>
                    <w14:schemeClr w14:val="tx1"/>
                  </w14:solidFill>
                </w14:textFill>
              </w:rPr>
            </w:pPr>
            <w:r>
              <w:rPr>
                <w:rFonts w:hint="eastAsia" w:ascii="楷体" w:hAnsi="楷体" w:eastAsia="楷体" w:cs="楷体"/>
                <w:color w:val="000000" w:themeColor="text1"/>
                <w:sz w:val="24"/>
                <w:lang w:eastAsia="zh-CN"/>
                <w14:textFill>
                  <w14:solidFill>
                    <w14:schemeClr w14:val="tx1"/>
                  </w14:solidFill>
                </w14:textFill>
              </w:rPr>
              <w:t>本产品的业绩比较基准</w:t>
            </w:r>
            <w:r>
              <w:rPr>
                <w:rFonts w:hint="eastAsia" w:ascii="楷体" w:hAnsi="楷体" w:eastAsia="楷体" w:cs="楷体"/>
                <w:color w:val="000000" w:themeColor="text1"/>
                <w:sz w:val="24"/>
                <w:highlight w:val="none"/>
                <w14:textFill>
                  <w14:solidFill>
                    <w14:schemeClr w14:val="tx1"/>
                  </w14:solidFill>
                </w14:textFill>
              </w:rPr>
              <w:t>详见开放期申购要素表。业绩比较基准由投资管理人依据理财产品的投资范围及比例、投资策略，并综合考量市场环境等因素测算。本产品基于大类资产配置和风险预算理念，以固定收益类资产为底仓，灵活配置衍生类、混合类和权益类等资产，注重风险防控，业绩比较基准是本机构基于产品性质、投资策略、过往经验等因素对产品设定的投资目标，不代表产品的未来表现和实际收益，不构成对产品收益的承诺。</w:t>
            </w:r>
          </w:p>
          <w:p>
            <w:pPr>
              <w:spacing w:line="360" w:lineRule="exact"/>
              <w:rPr>
                <w:rFonts w:hint="eastAsia" w:ascii="楷体" w:hAnsi="楷体" w:eastAsia="楷体" w:cs="楷体"/>
                <w:color w:val="000000"/>
                <w:sz w:val="24"/>
                <w:szCs w:val="24"/>
                <w:lang w:val="en-US"/>
              </w:rPr>
            </w:pPr>
            <w:r>
              <w:rPr>
                <w:rFonts w:hint="eastAsia" w:ascii="楷体" w:hAnsi="楷体" w:eastAsia="楷体" w:cs="楷体"/>
                <w:b/>
                <w:bCs/>
                <w:color w:val="000000"/>
                <w:sz w:val="24"/>
                <w:highlight w:val="none"/>
              </w:rPr>
              <w:t>管理人提醒投资者关注：</w:t>
            </w:r>
            <w:r>
              <w:rPr>
                <w:rFonts w:hint="eastAsia" w:ascii="楷体" w:hAnsi="楷体" w:eastAsia="楷体" w:cs="楷体"/>
                <w:sz w:val="24"/>
                <w:highlight w:val="none"/>
                <w:u w:val="single"/>
              </w:rPr>
              <w:t>本产品为净值型产品，业绩表</w:t>
            </w:r>
            <w:r>
              <w:rPr>
                <w:rFonts w:hint="eastAsia" w:ascii="楷体" w:hAnsi="楷体" w:eastAsia="楷体" w:cs="楷体"/>
                <w:sz w:val="24"/>
                <w:u w:val="single"/>
              </w:rPr>
              <w:t>现将随市场波动，具有不确定性。业绩比较基准仅供投资者投资参考，不构成管理人对产品实际投资收益率的承诺或担保，投资者的实际收益由产品净值表现决定。产品存续期内管理人有权根据市场情况调整业绩比较基准，如有调整以管理人公告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rPr>
              <w:t>产品费用</w:t>
            </w:r>
          </w:p>
        </w:tc>
        <w:tc>
          <w:tcPr>
            <w:tcW w:w="79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hint="eastAsia" w:ascii="楷体" w:hAnsi="楷体" w:eastAsia="楷体" w:cs="楷体"/>
                <w:sz w:val="24"/>
              </w:rPr>
            </w:pPr>
            <w:r>
              <w:rPr>
                <w:rFonts w:hint="eastAsia" w:ascii="楷体" w:hAnsi="楷体" w:eastAsia="楷体" w:cs="楷体"/>
                <w:sz w:val="24"/>
              </w:rPr>
              <w:t>本理财产品收取的费用为认/申购费、赎回费、销售费、固定管理费、托管费、</w:t>
            </w:r>
            <w:r>
              <w:rPr>
                <w:rFonts w:hint="eastAsia" w:ascii="楷体" w:hAnsi="楷体" w:eastAsia="楷体" w:cs="楷体"/>
                <w:sz w:val="24"/>
                <w:lang w:val="en-US" w:eastAsia="zh-CN"/>
              </w:rPr>
              <w:t>超额业绩报酬</w:t>
            </w:r>
            <w:r>
              <w:rPr>
                <w:rFonts w:hint="eastAsia" w:ascii="楷体" w:hAnsi="楷体" w:eastAsia="楷体" w:cs="楷体"/>
                <w:sz w:val="24"/>
              </w:rPr>
              <w:t>和与本产品相关的其他费用。</w:t>
            </w:r>
          </w:p>
          <w:p>
            <w:pPr>
              <w:spacing w:line="360" w:lineRule="exact"/>
              <w:rPr>
                <w:rFonts w:hint="eastAsia" w:ascii="楷体" w:hAnsi="楷体" w:eastAsia="楷体" w:cs="楷体"/>
                <w:color w:val="000000"/>
                <w:sz w:val="24"/>
                <w:szCs w:val="24"/>
                <w:lang w:val="en-US"/>
              </w:rPr>
            </w:pPr>
            <w:r>
              <w:rPr>
                <w:rFonts w:hint="eastAsia" w:ascii="楷体" w:hAnsi="楷体" w:eastAsia="楷体" w:cs="楷体"/>
                <w:sz w:val="24"/>
              </w:rPr>
              <w:t>详见本产品说明书第</w:t>
            </w:r>
            <w:r>
              <w:rPr>
                <w:rFonts w:hint="eastAsia" w:ascii="楷体" w:hAnsi="楷体" w:eastAsia="楷体" w:cs="楷体"/>
                <w:sz w:val="24"/>
                <w:lang w:val="en-US" w:eastAsia="zh-CN"/>
              </w:rPr>
              <w:t>六</w:t>
            </w:r>
            <w:r>
              <w:rPr>
                <w:rFonts w:hint="eastAsia" w:ascii="楷体" w:hAnsi="楷体" w:eastAsia="楷体" w:cs="楷体"/>
                <w:sz w:val="24"/>
              </w:rPr>
              <w:t>章“</w:t>
            </w:r>
            <w:r>
              <w:rPr>
                <w:rFonts w:hint="eastAsia" w:ascii="楷体" w:hAnsi="楷体" w:eastAsia="楷体" w:cs="楷体"/>
                <w:sz w:val="24"/>
                <w:lang w:val="en-US" w:eastAsia="zh-CN"/>
              </w:rPr>
              <w:t>产品</w:t>
            </w:r>
            <w:r>
              <w:rPr>
                <w:rFonts w:hint="eastAsia" w:ascii="楷体" w:hAnsi="楷体" w:eastAsia="楷体" w:cs="楷体"/>
                <w:sz w:val="24"/>
              </w:rPr>
              <w:t>费用</w:t>
            </w:r>
            <w:r>
              <w:rPr>
                <w:rFonts w:hint="eastAsia" w:ascii="楷体" w:hAnsi="楷体" w:eastAsia="楷体" w:cs="楷体"/>
                <w:sz w:val="24"/>
                <w:lang w:val="en-US" w:eastAsia="zh-CN"/>
              </w:rPr>
              <w:t>及</w:t>
            </w:r>
            <w:r>
              <w:rPr>
                <w:rFonts w:hint="eastAsia" w:ascii="楷体" w:hAnsi="楷体" w:eastAsia="楷体" w:cs="楷体"/>
                <w:sz w:val="24"/>
              </w:rPr>
              <w:t>税收”。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eastAsia="zh-CN"/>
              </w:rPr>
              <w:t>理财产品</w:t>
            </w:r>
            <w:r>
              <w:rPr>
                <w:rFonts w:hint="eastAsia" w:ascii="楷体" w:hAnsi="楷体" w:eastAsia="楷体" w:cs="楷体"/>
                <w:color w:val="000000"/>
                <w:sz w:val="24"/>
                <w:szCs w:val="24"/>
                <w:lang w:val="en-US"/>
              </w:rPr>
              <w:t>管理人</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张家港农村商业银行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highlight w:val="none"/>
                <w:lang w:val="en-US"/>
              </w:rPr>
            </w:pPr>
            <w:r>
              <w:rPr>
                <w:rFonts w:hint="eastAsia" w:ascii="楷体" w:hAnsi="楷体" w:eastAsia="楷体" w:cs="楷体"/>
                <w:color w:val="000000"/>
                <w:sz w:val="24"/>
                <w:szCs w:val="24"/>
                <w:highlight w:val="none"/>
                <w:lang w:val="en-US"/>
              </w:rPr>
              <w:t>理财</w:t>
            </w:r>
            <w:r>
              <w:rPr>
                <w:rFonts w:hint="eastAsia" w:ascii="楷体" w:hAnsi="楷体" w:eastAsia="楷体" w:cs="楷体"/>
                <w:color w:val="000000"/>
                <w:sz w:val="24"/>
                <w:szCs w:val="24"/>
                <w:highlight w:val="none"/>
                <w:lang w:val="en-US" w:eastAsia="zh-CN"/>
              </w:rPr>
              <w:t>产品</w:t>
            </w:r>
            <w:r>
              <w:rPr>
                <w:rFonts w:hint="eastAsia" w:ascii="楷体" w:hAnsi="楷体" w:eastAsia="楷体" w:cs="楷体"/>
                <w:color w:val="000000"/>
                <w:sz w:val="24"/>
                <w:szCs w:val="24"/>
                <w:highlight w:val="none"/>
                <w:lang w:val="en-US"/>
              </w:rPr>
              <w:t>托管人</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理财产品托管人为</w:t>
            </w:r>
            <w:r>
              <w:rPr>
                <w:rFonts w:hint="eastAsia" w:ascii="楷体" w:hAnsi="楷体" w:eastAsia="楷体" w:cs="楷体"/>
                <w:color w:val="000000"/>
                <w:sz w:val="24"/>
                <w:szCs w:val="24"/>
                <w:highlight w:val="none"/>
                <w:lang w:val="en-US"/>
              </w:rPr>
              <w:t>招商银行苏州分行</w:t>
            </w:r>
            <w:r>
              <w:rPr>
                <w:rFonts w:hint="eastAsia" w:ascii="楷体" w:hAnsi="楷体" w:eastAsia="楷体" w:cs="楷体"/>
                <w:color w:val="000000"/>
                <w:sz w:val="24"/>
                <w:szCs w:val="24"/>
                <w:highlight w:val="none"/>
                <w:lang w:val="en-US" w:eastAsia="zh-CN"/>
              </w:rPr>
              <w:t>；</w:t>
            </w:r>
          </w:p>
          <w:p>
            <w:pPr>
              <w:spacing w:line="360" w:lineRule="exact"/>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lang w:val="en-US" w:eastAsia="zh-CN"/>
              </w:rPr>
              <w:t>其注册地址为：江苏省苏州市工业园区万盛街36号招银大厦</w:t>
            </w:r>
          </w:p>
          <w:p>
            <w:pPr>
              <w:spacing w:line="360" w:lineRule="exact"/>
              <w:rPr>
                <w:rFonts w:hint="eastAsia" w:ascii="楷体" w:hAnsi="楷体" w:eastAsia="楷体" w:cs="楷体"/>
                <w:color w:val="000000"/>
                <w:sz w:val="24"/>
                <w:szCs w:val="24"/>
                <w:highlight w:val="none"/>
                <w:lang w:val="en-US"/>
              </w:rPr>
            </w:pPr>
            <w:r>
              <w:rPr>
                <w:rFonts w:hint="eastAsia" w:ascii="楷体" w:hAnsi="楷体" w:eastAsia="楷体" w:cs="楷体"/>
                <w:color w:val="auto"/>
                <w:sz w:val="24"/>
                <w:szCs w:val="24"/>
                <w:highlight w:val="none"/>
                <w:lang w:val="en-US" w:eastAsia="zh-CN"/>
              </w:rPr>
              <w:t>其</w:t>
            </w:r>
            <w:r>
              <w:rPr>
                <w:rFonts w:hint="eastAsia" w:ascii="楷体" w:hAnsi="楷体" w:eastAsia="楷体" w:cs="楷体"/>
                <w:color w:val="auto"/>
                <w:sz w:val="24"/>
                <w:szCs w:val="24"/>
                <w:highlight w:val="none"/>
                <w:lang w:eastAsia="zh-CN"/>
              </w:rPr>
              <w:t>主要职责为：</w:t>
            </w:r>
            <w:r>
              <w:rPr>
                <w:rFonts w:hint="eastAsia" w:ascii="楷体" w:hAnsi="楷体" w:eastAsia="楷体" w:cs="楷体"/>
                <w:sz w:val="24"/>
                <w:highlight w:val="none"/>
              </w:rPr>
              <w:t>根据法律法规和合同约定提供包括账户开立、资金保管、资金清算、估值核算等理财产品托管服务。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auto"/>
                <w:sz w:val="24"/>
                <w:szCs w:val="24"/>
                <w:highlight w:val="none"/>
                <w:lang w:eastAsia="zh-CN"/>
              </w:rPr>
              <w:t>销售机构及</w:t>
            </w:r>
            <w:r>
              <w:rPr>
                <w:rFonts w:hint="eastAsia" w:ascii="楷体" w:hAnsi="楷体" w:eastAsia="楷体" w:cs="楷体"/>
                <w:color w:val="000000"/>
                <w:sz w:val="24"/>
                <w:szCs w:val="24"/>
                <w:lang w:val="en-US"/>
              </w:rPr>
              <w:t>发售渠道</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eastAsia="zh-CN"/>
              </w:rPr>
              <w:t>销售机构为</w:t>
            </w:r>
            <w:r>
              <w:rPr>
                <w:rFonts w:hint="eastAsia" w:ascii="楷体" w:hAnsi="楷体" w:eastAsia="楷体" w:cs="楷体"/>
                <w:color w:val="auto"/>
                <w:sz w:val="24"/>
                <w:szCs w:val="24"/>
                <w:highlight w:val="none"/>
              </w:rPr>
              <w:t>张家港农村商业银行</w:t>
            </w:r>
            <w:r>
              <w:rPr>
                <w:rFonts w:hint="eastAsia" w:ascii="楷体" w:hAnsi="楷体" w:eastAsia="楷体" w:cs="楷体"/>
                <w:color w:val="auto"/>
                <w:sz w:val="24"/>
                <w:szCs w:val="24"/>
                <w:highlight w:val="none"/>
                <w:lang w:eastAsia="zh-CN"/>
              </w:rPr>
              <w:t>；</w:t>
            </w:r>
          </w:p>
          <w:p>
            <w:pPr>
              <w:spacing w:line="360" w:lineRule="exact"/>
              <w:rPr>
                <w:rFonts w:hint="default"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eastAsia="zh-CN"/>
              </w:rPr>
              <w:t>其注册地址为：张家港市人民中路</w:t>
            </w:r>
            <w:r>
              <w:rPr>
                <w:rFonts w:hint="eastAsia" w:ascii="楷体" w:hAnsi="楷体" w:eastAsia="楷体" w:cs="楷体"/>
                <w:color w:val="auto"/>
                <w:sz w:val="24"/>
                <w:szCs w:val="24"/>
                <w:highlight w:val="none"/>
                <w:lang w:val="en-US" w:eastAsia="zh-CN"/>
              </w:rPr>
              <w:t>66号；</w:t>
            </w:r>
          </w:p>
          <w:p>
            <w:pPr>
              <w:spacing w:line="360" w:lineRule="exact"/>
              <w:rPr>
                <w:rFonts w:hint="eastAsia" w:ascii="楷体" w:hAnsi="楷体" w:eastAsia="楷体" w:cs="楷体"/>
                <w:color w:val="auto"/>
                <w:sz w:val="24"/>
                <w:szCs w:val="24"/>
                <w:highlight w:val="none"/>
                <w:lang w:eastAsia="zh-CN"/>
              </w:rPr>
            </w:pPr>
            <w:r>
              <w:rPr>
                <w:rFonts w:hint="eastAsia" w:ascii="楷体" w:hAnsi="楷体" w:eastAsia="楷体" w:cs="楷体"/>
                <w:color w:val="auto"/>
                <w:sz w:val="24"/>
                <w:szCs w:val="24"/>
                <w:highlight w:val="none"/>
                <w:lang w:eastAsia="zh-CN"/>
              </w:rPr>
              <w:t>其主要职责为：</w:t>
            </w:r>
            <w:r>
              <w:rPr>
                <w:rFonts w:hint="eastAsia" w:ascii="楷体" w:hAnsi="楷体" w:eastAsia="楷体" w:cs="楷体"/>
                <w:color w:val="auto"/>
                <w:sz w:val="24"/>
                <w:szCs w:val="24"/>
                <w:highlight w:val="none"/>
              </w:rPr>
              <w:t>为投资者办理理财产品的认购、申购、赎回、查询以及中国银保监会许可的其他业务,包括理财产品宣传推广、投资者风险承受能力评估和投资者适当性管理、 理财产品份额认购/申购/赎回、与投资者订立理财产品合同、与投资者沟通及进行信息披露、接受投资者咨询和客户维护等销售服务。充分了解面向特定对象销售的理财产品的投资者信息，收集、核验投资者金融资产证明、收入证明或纳税凭证等材料，对非机构投资者风险识别能力和风险承受能力进行持续评估。 完善合格投资者尽职调查流程并履行投资者签字确认程序。</w:t>
            </w:r>
            <w:r>
              <w:rPr>
                <w:rFonts w:hint="eastAsia" w:ascii="楷体" w:hAnsi="楷体" w:eastAsia="楷体" w:cs="楷体"/>
                <w:color w:val="auto"/>
                <w:sz w:val="24"/>
                <w:szCs w:val="24"/>
                <w:highlight w:val="none"/>
                <w:lang w:val="en-US" w:eastAsia="zh-CN"/>
              </w:rPr>
              <w:t>以及</w:t>
            </w:r>
            <w:r>
              <w:rPr>
                <w:rFonts w:hint="eastAsia" w:ascii="楷体" w:hAnsi="楷体" w:eastAsia="楷体" w:cs="楷体"/>
                <w:color w:val="auto"/>
                <w:sz w:val="24"/>
                <w:szCs w:val="24"/>
                <w:highlight w:val="none"/>
                <w:lang w:eastAsia="zh-CN"/>
              </w:rPr>
              <w:t>法律法规、监管规定和理财产品销售文件约定的其他权利与义务。</w:t>
            </w:r>
          </w:p>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auto"/>
                <w:sz w:val="24"/>
                <w:szCs w:val="24"/>
                <w:highlight w:val="none"/>
                <w:lang w:eastAsia="zh-CN"/>
              </w:rPr>
              <w:t>主要销售渠道为张家港农村商业银行</w:t>
            </w:r>
            <w:r>
              <w:rPr>
                <w:rFonts w:hint="eastAsia" w:ascii="楷体" w:hAnsi="楷体" w:eastAsia="楷体" w:cs="楷体"/>
                <w:color w:val="auto"/>
                <w:sz w:val="24"/>
                <w:szCs w:val="24"/>
                <w:highlight w:val="none"/>
              </w:rPr>
              <w:t>下属各营业网点（包括但不限于银行柜面、网上银行、手机银行等渠道）</w:t>
            </w:r>
            <w:r>
              <w:rPr>
                <w:rFonts w:hint="eastAsia" w:ascii="楷体" w:hAnsi="楷体" w:eastAsia="楷体" w:cs="楷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eastAsia="zh-CN"/>
              </w:rPr>
            </w:pPr>
            <w:r>
              <w:rPr>
                <w:rFonts w:hint="eastAsia" w:ascii="楷体" w:hAnsi="楷体" w:eastAsia="楷体" w:cs="楷体"/>
                <w:sz w:val="24"/>
              </w:rPr>
              <w:t>投资合作机构基本信息和主要职责</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sz w:val="24"/>
              </w:rPr>
              <w:t>本理财产品目前无特定具体理财投资合作机构，具体以管理人后续信息披露为准。理财投资合作机构的主要职责为进行受托资金的投资管理，根据合同约定从事受托投资或提供投资顾问等服务，具体职责以管理人与理财投资合作机构签署的合同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其他说明</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highlight w:val="none"/>
                <w:lang w:val="en-US"/>
              </w:rPr>
              <w:t>开放期内允许投资者进行申购/赎回申请，其他时间不开放申购/赎回申请。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风险提示</w:t>
            </w:r>
          </w:p>
        </w:tc>
        <w:tc>
          <w:tcPr>
            <w:tcW w:w="7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楷体" w:hAnsi="楷体" w:eastAsia="楷体" w:cs="楷体"/>
                <w:color w:val="000000"/>
                <w:sz w:val="24"/>
                <w:szCs w:val="24"/>
                <w:lang w:val="en-US"/>
              </w:rPr>
            </w:pPr>
            <w:r>
              <w:rPr>
                <w:rFonts w:hint="eastAsia" w:ascii="楷体" w:hAnsi="楷体" w:eastAsia="楷体" w:cs="楷体"/>
                <w:color w:val="auto"/>
                <w:sz w:val="24"/>
                <w:szCs w:val="24"/>
                <w:highlight w:val="none"/>
                <w:lang w:val="en-US" w:eastAsia="zh-CN"/>
              </w:rPr>
              <w:t>本理财产品为非保本浮动收益型理财产品，不保证本金和收益。理财产品管理运用过程可能会面临多种风险因素</w:t>
            </w:r>
            <w:r>
              <w:rPr>
                <w:rFonts w:hint="eastAsia" w:ascii="楷体" w:hAnsi="楷体" w:eastAsia="楷体" w:cs="楷体"/>
                <w:color w:val="auto"/>
                <w:sz w:val="24"/>
                <w:szCs w:val="24"/>
                <w:highlight w:val="none"/>
              </w:rPr>
              <w:t>，具体详见</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风险揭示书</w:t>
            </w:r>
            <w:r>
              <w:rPr>
                <w:rFonts w:hint="eastAsia" w:ascii="楷体" w:hAnsi="楷体" w:eastAsia="楷体" w:cs="楷体"/>
                <w:color w:val="auto"/>
                <w:sz w:val="24"/>
                <w:szCs w:val="24"/>
                <w:highlight w:val="none"/>
                <w:lang w:eastAsia="zh-CN"/>
              </w:rPr>
              <w:t>》</w:t>
            </w:r>
            <w:r>
              <w:rPr>
                <w:rFonts w:hint="eastAsia" w:ascii="楷体" w:hAnsi="楷体" w:eastAsia="楷体" w:cs="楷体"/>
                <w:color w:val="auto"/>
                <w:sz w:val="24"/>
                <w:szCs w:val="24"/>
                <w:highlight w:val="none"/>
              </w:rPr>
              <w:t>。</w:t>
            </w:r>
          </w:p>
        </w:tc>
      </w:tr>
    </w:tbl>
    <w:p>
      <w:pPr>
        <w:spacing w:line="360" w:lineRule="exact"/>
        <w:ind w:firstLine="482" w:firstLineChars="201"/>
        <w:rPr>
          <w:rFonts w:hint="eastAsia" w:ascii="楷体" w:hAnsi="楷体" w:eastAsia="楷体" w:cs="楷体"/>
          <w:color w:val="000000"/>
          <w:sz w:val="24"/>
          <w:lang w:val="en-US"/>
        </w:rPr>
      </w:pPr>
    </w:p>
    <w:p>
      <w:pPr>
        <w:numPr>
          <w:ilvl w:val="0"/>
          <w:numId w:val="0"/>
        </w:numPr>
        <w:spacing w:line="360" w:lineRule="exact"/>
        <w:ind w:firstLine="605" w:firstLineChars="201"/>
        <w:rPr>
          <w:rFonts w:hint="eastAsia" w:ascii="楷体" w:hAnsi="楷体" w:eastAsia="楷体" w:cs="楷体"/>
          <w:b/>
          <w:bCs/>
          <w:color w:val="000000"/>
          <w:sz w:val="30"/>
          <w:szCs w:val="30"/>
          <w:lang w:val="en-US" w:eastAsia="zh-CN"/>
        </w:rPr>
      </w:pPr>
      <w:r>
        <w:rPr>
          <w:rFonts w:hint="eastAsia" w:ascii="楷体" w:hAnsi="楷体" w:eastAsia="楷体" w:cs="楷体"/>
          <w:b/>
          <w:bCs/>
          <w:color w:val="000000"/>
          <w:sz w:val="30"/>
          <w:szCs w:val="30"/>
          <w:lang w:val="en-US"/>
        </w:rPr>
        <w:t>二、</w:t>
      </w:r>
      <w:r>
        <w:rPr>
          <w:rFonts w:hint="eastAsia" w:ascii="楷体" w:hAnsi="楷体" w:eastAsia="楷体" w:cs="楷体"/>
          <w:b/>
          <w:bCs/>
          <w:color w:val="000000"/>
          <w:sz w:val="30"/>
          <w:szCs w:val="30"/>
          <w:lang w:val="en-US" w:eastAsia="zh-CN"/>
        </w:rPr>
        <w:t>投资管理</w:t>
      </w:r>
    </w:p>
    <w:p>
      <w:pPr>
        <w:spacing w:line="360" w:lineRule="exact"/>
        <w:ind w:firstLine="482" w:firstLineChars="201"/>
        <w:rPr>
          <w:rFonts w:hint="eastAsia" w:ascii="楷体" w:hAnsi="楷体" w:eastAsia="楷体" w:cs="楷体"/>
          <w:color w:val="000000"/>
          <w:sz w:val="24"/>
          <w:highlight w:val="none"/>
        </w:rPr>
      </w:pPr>
      <w:r>
        <w:rPr>
          <w:rFonts w:hint="eastAsia" w:ascii="楷体" w:hAnsi="楷体" w:eastAsia="楷体" w:cs="楷体"/>
          <w:color w:val="000000"/>
          <w:sz w:val="24"/>
          <w:highlight w:val="none"/>
        </w:rPr>
        <w:t xml:space="preserve">（一）投资范围和投资比例 </w:t>
      </w:r>
    </w:p>
    <w:p>
      <w:pPr>
        <w:spacing w:line="360" w:lineRule="exact"/>
        <w:ind w:firstLine="482" w:firstLineChars="201"/>
        <w:rPr>
          <w:rFonts w:hint="eastAsia" w:ascii="楷体" w:hAnsi="楷体" w:eastAsia="楷体" w:cs="楷体"/>
          <w:color w:val="000000"/>
          <w:sz w:val="24"/>
          <w:highlight w:val="none"/>
        </w:rPr>
      </w:pPr>
      <w:r>
        <w:rPr>
          <w:rFonts w:hint="eastAsia" w:ascii="楷体" w:hAnsi="楷体" w:eastAsia="楷体" w:cs="楷体"/>
          <w:color w:val="000000"/>
          <w:sz w:val="24"/>
          <w:highlight w:val="none"/>
        </w:rPr>
        <w:t xml:space="preserve">固定收益类资产：包括现金、银行存款、同业存单、大额可转让存单、货币市场基金、债券回购、国债、金融债、中央银行票据、公司债券、企业债券、非公开定向债务融资工具、可转换债券、可交换债券、短期融资券、中期票据、超短期融资券、次级债、资产证券化产品、债券基金和偏债混合型基金、债券借贷、证券公司收益凭证、非标准化债权类资产及其他符合监管要求的固定收益类资产。 </w:t>
      </w:r>
    </w:p>
    <w:p>
      <w:pPr>
        <w:spacing w:line="360" w:lineRule="exact"/>
        <w:ind w:firstLine="482" w:firstLineChars="201"/>
        <w:rPr>
          <w:rFonts w:hint="eastAsia" w:ascii="楷体" w:hAnsi="楷体" w:eastAsia="楷体" w:cs="楷体"/>
          <w:color w:val="000000"/>
          <w:sz w:val="24"/>
          <w:highlight w:val="none"/>
        </w:rPr>
      </w:pPr>
      <w:r>
        <w:rPr>
          <w:rFonts w:hint="eastAsia" w:ascii="楷体" w:hAnsi="楷体" w:eastAsia="楷体" w:cs="楷体"/>
          <w:color w:val="000000"/>
          <w:sz w:val="24"/>
          <w:highlight w:val="none"/>
        </w:rPr>
        <w:t>各类资产的投资比例为：固定收益类资产比例为</w:t>
      </w:r>
      <w:r>
        <w:rPr>
          <w:rFonts w:hint="eastAsia" w:ascii="楷体" w:hAnsi="楷体" w:eastAsia="楷体" w:cs="楷体"/>
          <w:color w:val="000000"/>
          <w:sz w:val="24"/>
          <w:highlight w:val="none"/>
          <w:lang w:val="en-US" w:eastAsia="zh-CN"/>
        </w:rPr>
        <w:t>100%</w:t>
      </w:r>
      <w:r>
        <w:rPr>
          <w:rFonts w:hint="eastAsia" w:ascii="楷体" w:hAnsi="楷体" w:eastAsia="楷体" w:cs="楷体"/>
          <w:color w:val="000000"/>
          <w:sz w:val="24"/>
          <w:highlight w:val="none"/>
        </w:rPr>
        <w:t>。</w:t>
      </w:r>
    </w:p>
    <w:p>
      <w:pPr>
        <w:spacing w:line="360" w:lineRule="exact"/>
        <w:ind w:firstLine="482" w:firstLineChars="201"/>
        <w:rPr>
          <w:rFonts w:hint="eastAsia" w:ascii="楷体" w:hAnsi="楷体" w:eastAsia="楷体" w:cs="楷体"/>
          <w:color w:val="000000"/>
          <w:sz w:val="24"/>
          <w:highlight w:val="none"/>
        </w:rPr>
      </w:pPr>
      <w:r>
        <w:rPr>
          <w:rFonts w:hint="eastAsia" w:ascii="楷体" w:hAnsi="楷体" w:eastAsia="楷体" w:cs="楷体"/>
          <w:color w:val="000000"/>
          <w:sz w:val="24"/>
          <w:highlight w:val="none"/>
        </w:rPr>
        <w:t xml:space="preserve">（二）投资限制 </w:t>
      </w:r>
    </w:p>
    <w:p>
      <w:pPr>
        <w:spacing w:line="360" w:lineRule="exact"/>
        <w:ind w:firstLine="482" w:firstLineChars="201"/>
        <w:rPr>
          <w:rFonts w:hint="eastAsia" w:ascii="楷体" w:hAnsi="楷体" w:eastAsia="楷体" w:cs="楷体"/>
          <w:color w:val="000000"/>
          <w:sz w:val="24"/>
          <w:highlight w:val="none"/>
        </w:rPr>
      </w:pPr>
      <w:r>
        <w:rPr>
          <w:rFonts w:hint="eastAsia" w:ascii="楷体" w:hAnsi="楷体" w:eastAsia="楷体" w:cs="楷体"/>
          <w:color w:val="000000"/>
          <w:sz w:val="24"/>
          <w:highlight w:val="none"/>
        </w:rPr>
        <w:t>1.管理人管理的全部公募理财产品投资于同一只证券或同一只公募证券投资基金的市值不得超过该证券市值或该公募证券投资基金的30%。投资于单只证券或单只公募证券投资基金的市值不得超过本理财产品净资产的10%。如遇市场变化导致各类投资品投资比例暂时超出以上范围，为保护投资者利益，管理人将在流动性受限资产可出售、可转让或者恢复交易的10个交易日内调整至上述比例范围，国务院银行业监督管理机构规定的特殊情形除外。投资于国债、地方政府债券、中央银行票据、政府机构债券、政策性金融债券以及完全按照有关指数的构成比例进行投资的除外。</w:t>
      </w:r>
    </w:p>
    <w:p>
      <w:pPr>
        <w:spacing w:line="360" w:lineRule="exact"/>
        <w:ind w:firstLine="482" w:firstLineChars="201"/>
        <w:rPr>
          <w:rFonts w:hint="eastAsia" w:ascii="楷体" w:hAnsi="楷体" w:eastAsia="楷体" w:cs="楷体"/>
          <w:color w:val="000000"/>
          <w:sz w:val="24"/>
          <w:highlight w:val="none"/>
        </w:rPr>
      </w:pPr>
      <w:r>
        <w:rPr>
          <w:rFonts w:hint="eastAsia" w:ascii="楷体" w:hAnsi="楷体" w:eastAsia="楷体" w:cs="楷体"/>
          <w:color w:val="000000"/>
          <w:sz w:val="24"/>
          <w:highlight w:val="none"/>
        </w:rPr>
        <w:t>2.本理财产品的总资产不得超过产品净资产的140%。</w:t>
      </w:r>
    </w:p>
    <w:p>
      <w:pPr>
        <w:autoSpaceDE w:val="0"/>
        <w:autoSpaceDN w:val="0"/>
        <w:adjustRightInd w:val="0"/>
        <w:spacing w:line="360" w:lineRule="exact"/>
        <w:ind w:firstLine="482" w:firstLineChars="201"/>
        <w:rPr>
          <w:rFonts w:hint="eastAsia" w:ascii="楷体" w:hAnsi="楷体" w:eastAsia="楷体" w:cs="楷体"/>
          <w:sz w:val="24"/>
          <w:highlight w:val="none"/>
        </w:rPr>
      </w:pPr>
      <w:r>
        <w:rPr>
          <w:rFonts w:hint="eastAsia" w:ascii="楷体" w:hAnsi="楷体" w:eastAsia="楷体" w:cs="楷体"/>
          <w:sz w:val="24"/>
          <w:highlight w:val="none"/>
        </w:rPr>
        <w:t>（三）投资策略</w:t>
      </w:r>
    </w:p>
    <w:p>
      <w:pPr>
        <w:widowControl/>
        <w:ind w:firstLine="480" w:firstLineChars="200"/>
        <w:jc w:val="both"/>
        <w:rPr>
          <w:rFonts w:ascii="楷体" w:hAnsi="楷体" w:eastAsia="楷体" w:cs="楷体"/>
          <w:sz w:val="24"/>
          <w:highlight w:val="none"/>
        </w:rPr>
      </w:pPr>
      <w:r>
        <w:rPr>
          <w:rFonts w:hint="eastAsia" w:ascii="楷体" w:hAnsi="楷体" w:eastAsia="楷体" w:cs="楷体"/>
          <w:color w:val="000000"/>
          <w:kern w:val="0"/>
          <w:sz w:val="24"/>
          <w:highlight w:val="none"/>
          <w:lang w:bidi="ar"/>
        </w:rPr>
        <w:t>本产品旨在风险可控的前提下参与权益类资产投资以增强产品收益。根据产品组合中固定收益类资产积累的安全垫情况，动态调整权益类资产的投资比例，遴选适合的资产、资产组合或投资策略。密切跟踪市场情况，严格控制组合净值回撤。</w:t>
      </w:r>
    </w:p>
    <w:p>
      <w:pPr>
        <w:widowControl/>
        <w:ind w:firstLine="480" w:firstLineChars="200"/>
        <w:jc w:val="both"/>
        <w:rPr>
          <w:rFonts w:ascii="楷体" w:hAnsi="楷体" w:eastAsia="楷体" w:cs="楷体"/>
          <w:sz w:val="24"/>
          <w:highlight w:val="none"/>
        </w:rPr>
      </w:pPr>
      <w:r>
        <w:rPr>
          <w:rFonts w:hint="eastAsia" w:ascii="楷体" w:hAnsi="楷体" w:eastAsia="楷体" w:cs="楷体"/>
          <w:color w:val="000000"/>
          <w:kern w:val="0"/>
          <w:sz w:val="24"/>
          <w:highlight w:val="none"/>
          <w:lang w:bidi="ar"/>
        </w:rPr>
        <w:t>1.大类资产配置</w:t>
      </w:r>
    </w:p>
    <w:p>
      <w:pPr>
        <w:widowControl/>
        <w:ind w:firstLine="480" w:firstLineChars="200"/>
        <w:jc w:val="both"/>
        <w:rPr>
          <w:rFonts w:ascii="楷体" w:hAnsi="楷体" w:eastAsia="楷体" w:cs="楷体"/>
          <w:sz w:val="24"/>
          <w:highlight w:val="none"/>
        </w:rPr>
      </w:pPr>
      <w:r>
        <w:rPr>
          <w:rFonts w:hint="eastAsia" w:ascii="楷体" w:hAnsi="楷体" w:eastAsia="楷体" w:cs="楷体"/>
          <w:color w:val="000000"/>
          <w:kern w:val="0"/>
          <w:sz w:val="24"/>
          <w:highlight w:val="none"/>
          <w:lang w:bidi="ar"/>
        </w:rPr>
        <w:t>从宏观环境、政策因素、资金供求因素、证券市场基本面等角度进行综合分析，判断各类资产的市场趋势和预期风险收益，在严格控制风险的前提下，确定投资组合在债券、股票、基金、现金、衍生工具等资产类别的投资比例，并根据宏观经济形势和市场时机的变化适时进行动态调整。</w:t>
      </w:r>
    </w:p>
    <w:p>
      <w:pPr>
        <w:widowControl/>
        <w:ind w:firstLine="480" w:firstLineChars="200"/>
        <w:jc w:val="both"/>
        <w:rPr>
          <w:rFonts w:ascii="楷体" w:hAnsi="楷体" w:eastAsia="楷体" w:cs="楷体"/>
          <w:sz w:val="24"/>
          <w:highlight w:val="none"/>
        </w:rPr>
      </w:pPr>
      <w:r>
        <w:rPr>
          <w:rFonts w:hint="eastAsia" w:ascii="楷体" w:hAnsi="楷体" w:eastAsia="楷体" w:cs="楷体"/>
          <w:color w:val="000000"/>
          <w:kern w:val="0"/>
          <w:sz w:val="24"/>
          <w:highlight w:val="none"/>
          <w:lang w:bidi="ar"/>
        </w:rPr>
        <w:t>2.债券类资产投资策略</w:t>
      </w:r>
    </w:p>
    <w:p>
      <w:pPr>
        <w:widowControl/>
        <w:ind w:firstLine="480" w:firstLineChars="200"/>
        <w:jc w:val="both"/>
        <w:rPr>
          <w:rFonts w:ascii="楷体" w:hAnsi="楷体" w:eastAsia="楷体" w:cs="楷体"/>
          <w:sz w:val="24"/>
          <w:highlight w:val="none"/>
        </w:rPr>
      </w:pPr>
      <w:r>
        <w:rPr>
          <w:rFonts w:hint="eastAsia" w:ascii="楷体" w:hAnsi="楷体" w:eastAsia="楷体" w:cs="楷体"/>
          <w:color w:val="000000"/>
          <w:kern w:val="0"/>
          <w:sz w:val="24"/>
          <w:highlight w:val="none"/>
          <w:lang w:bidi="ar"/>
        </w:rPr>
        <w:t>根据安全垫的要求控制风险，在充分论证债券市场宏观环境和仔细分析利率走势基础上，通过久期配置策略、期限结构配置策略、类属配置策略、信用类债券策略等自上而下完成组合构建。</w:t>
      </w:r>
    </w:p>
    <w:p>
      <w:pPr>
        <w:widowControl/>
        <w:ind w:firstLine="480" w:firstLineChars="200"/>
        <w:jc w:val="both"/>
        <w:rPr>
          <w:rFonts w:ascii="楷体" w:hAnsi="楷体" w:eastAsia="楷体" w:cs="楷体"/>
          <w:sz w:val="24"/>
          <w:highlight w:val="none"/>
        </w:rPr>
      </w:pPr>
      <w:r>
        <w:rPr>
          <w:rFonts w:hint="eastAsia" w:ascii="楷体" w:hAnsi="楷体" w:eastAsia="楷体" w:cs="楷体"/>
          <w:color w:val="000000"/>
          <w:kern w:val="0"/>
          <w:sz w:val="24"/>
          <w:highlight w:val="none"/>
          <w:lang w:eastAsia="zh-CN" w:bidi="ar"/>
        </w:rPr>
        <w:t>3</w:t>
      </w:r>
      <w:r>
        <w:rPr>
          <w:rFonts w:hint="eastAsia" w:ascii="楷体" w:hAnsi="楷体" w:eastAsia="楷体" w:cs="楷体"/>
          <w:color w:val="000000"/>
          <w:kern w:val="0"/>
          <w:sz w:val="24"/>
          <w:highlight w:val="none"/>
          <w:lang w:bidi="ar"/>
        </w:rPr>
        <w:t>.基金投资策略</w:t>
      </w:r>
    </w:p>
    <w:p>
      <w:pPr>
        <w:widowControl/>
        <w:ind w:firstLine="480" w:firstLineChars="200"/>
        <w:jc w:val="both"/>
        <w:rPr>
          <w:rFonts w:ascii="楷体" w:hAnsi="楷体" w:eastAsia="楷体" w:cs="楷体"/>
          <w:sz w:val="24"/>
          <w:highlight w:val="none"/>
        </w:rPr>
      </w:pPr>
      <w:r>
        <w:rPr>
          <w:rFonts w:hint="eastAsia" w:ascii="楷体" w:hAnsi="楷体" w:eastAsia="楷体" w:cs="楷体"/>
          <w:color w:val="000000"/>
          <w:kern w:val="0"/>
          <w:sz w:val="24"/>
          <w:highlight w:val="none"/>
          <w:lang w:bidi="ar"/>
        </w:rPr>
        <w:t>综合考虑基金管理人（含资产管理人）旗下基金综合表现、基金经理过往业绩、基金费率等情况，通过宏观经济分析、债券市场分析、股票市场分析等，投资流动性较好的债券型基金、混合型基金、股票型基金和货币市场型基金等。</w:t>
      </w:r>
    </w:p>
    <w:p>
      <w:pPr>
        <w:numPr>
          <w:ilvl w:val="0"/>
          <w:numId w:val="0"/>
        </w:numPr>
        <w:spacing w:line="360" w:lineRule="exact"/>
        <w:ind w:firstLine="605" w:firstLineChars="201"/>
        <w:rPr>
          <w:rFonts w:hint="eastAsia" w:ascii="楷体" w:hAnsi="楷体" w:eastAsia="楷体" w:cs="楷体"/>
          <w:b/>
          <w:bCs/>
          <w:color w:val="000000"/>
          <w:sz w:val="30"/>
          <w:szCs w:val="30"/>
          <w:lang w:val="en-US"/>
        </w:rPr>
      </w:pPr>
      <w:r>
        <w:rPr>
          <w:rFonts w:hint="eastAsia" w:ascii="楷体" w:hAnsi="楷体" w:eastAsia="楷体" w:cs="楷体"/>
          <w:b/>
          <w:bCs/>
          <w:color w:val="000000"/>
          <w:sz w:val="30"/>
          <w:szCs w:val="30"/>
          <w:lang w:val="en-US"/>
        </w:rPr>
        <w:t>三、内部风险评级</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eastAsia="zh-CN"/>
        </w:rPr>
        <w:t>金港湾悠享周开1号</w:t>
      </w:r>
      <w:r>
        <w:rPr>
          <w:rFonts w:hint="eastAsia" w:ascii="楷体" w:hAnsi="楷体" w:eastAsia="楷体" w:cs="楷体"/>
          <w:color w:val="000000"/>
          <w:sz w:val="24"/>
          <w:szCs w:val="24"/>
          <w:lang w:val="en-US"/>
        </w:rPr>
        <w:t>净值型人民币理财产品内部风险评级级别为二级，二颗星★★，风险程度属中低风险级别，适合于稳健型及以上投资者。</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（本风险评级为银行内部评级结果，仅供参考，不具备法律后果，评级结果的含义请参见后附的评级标准说明）</w:t>
      </w:r>
    </w:p>
    <w:p>
      <w:pPr>
        <w:spacing w:after="303" w:afterLines="50"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银行内部风险评级说明</w:t>
      </w:r>
    </w:p>
    <w:tbl>
      <w:tblPr>
        <w:tblStyle w:val="4"/>
        <w:tblW w:w="10129" w:type="dxa"/>
        <w:jc w:val="center"/>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
      <w:tblGrid>
        <w:gridCol w:w="1755"/>
        <w:gridCol w:w="1185"/>
        <w:gridCol w:w="5422"/>
        <w:gridCol w:w="1767"/>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455" w:hRule="atLeast"/>
          <w:jc w:val="center"/>
        </w:trPr>
        <w:tc>
          <w:tcPr>
            <w:tcW w:w="17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风险标识</w:t>
            </w:r>
          </w:p>
        </w:tc>
        <w:tc>
          <w:tcPr>
            <w:tcW w:w="11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风险评级</w:t>
            </w:r>
          </w:p>
        </w:tc>
        <w:tc>
          <w:tcPr>
            <w:tcW w:w="54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评级说明</w:t>
            </w:r>
          </w:p>
        </w:tc>
        <w:tc>
          <w:tcPr>
            <w:tcW w:w="17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适用投资者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562" w:hRule="atLeast"/>
          <w:jc w:val="center"/>
        </w:trPr>
        <w:tc>
          <w:tcPr>
            <w:tcW w:w="175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一级</w:t>
            </w:r>
          </w:p>
        </w:tc>
        <w:tc>
          <w:tcPr>
            <w:tcW w:w="542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楷体" w:hAnsi="楷体" w:eastAsia="楷体" w:cs="楷体"/>
                <w:sz w:val="24"/>
                <w:szCs w:val="24"/>
                <w:highlight w:val="none"/>
              </w:rPr>
            </w:pPr>
            <w:r>
              <w:rPr>
                <w:rFonts w:hint="eastAsia" w:ascii="楷体" w:hAnsi="楷体" w:eastAsia="楷体" w:cs="楷体"/>
                <w:sz w:val="24"/>
                <w:szCs w:val="24"/>
                <w:highlight w:val="none"/>
              </w:rPr>
              <w:t>总体风险程度低，收益波动小，产品本金安全性高，收益不能实现的可能性小。</w:t>
            </w:r>
          </w:p>
        </w:tc>
        <w:tc>
          <w:tcPr>
            <w:tcW w:w="176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保守型投资者</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稳健型投资者</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平衡型投资者</w:t>
            </w:r>
            <w:r>
              <w:rPr>
                <w:rFonts w:hint="eastAsia" w:ascii="楷体" w:hAnsi="楷体" w:eastAsia="楷体" w:cs="楷体"/>
                <w:sz w:val="24"/>
                <w:szCs w:val="24"/>
                <w:highlight w:val="none"/>
                <w:lang w:eastAsia="zh-CN"/>
              </w:rPr>
              <w:t>、成长型投资者、进取型投资者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615" w:hRule="atLeast"/>
          <w:jc w:val="center"/>
        </w:trPr>
        <w:tc>
          <w:tcPr>
            <w:tcW w:w="175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二级</w:t>
            </w:r>
          </w:p>
        </w:tc>
        <w:tc>
          <w:tcPr>
            <w:tcW w:w="542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楷体" w:hAnsi="楷体" w:eastAsia="楷体" w:cs="楷体"/>
                <w:sz w:val="24"/>
                <w:szCs w:val="24"/>
                <w:highlight w:val="none"/>
              </w:rPr>
            </w:pPr>
            <w:r>
              <w:rPr>
                <w:rFonts w:hint="eastAsia" w:ascii="楷体" w:hAnsi="楷体" w:eastAsia="楷体" w:cs="楷体"/>
                <w:sz w:val="24"/>
                <w:szCs w:val="24"/>
                <w:highlight w:val="none"/>
              </w:rPr>
              <w:t>总体风险程度较低，收益波动较小，虽然存在一些可能对产品本金和收益安全产生不利影响的因素，但产品本金出现损失的可能性较小。</w:t>
            </w:r>
          </w:p>
        </w:tc>
        <w:tc>
          <w:tcPr>
            <w:tcW w:w="176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稳健型投资者</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平衡型投资者</w:t>
            </w:r>
            <w:r>
              <w:rPr>
                <w:rFonts w:hint="eastAsia" w:ascii="楷体" w:hAnsi="楷体" w:eastAsia="楷体" w:cs="楷体"/>
                <w:sz w:val="24"/>
                <w:szCs w:val="24"/>
                <w:highlight w:val="none"/>
                <w:lang w:eastAsia="zh-CN"/>
              </w:rPr>
              <w:t>、成长型投资者、进取型投资者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615" w:hRule="atLeast"/>
          <w:jc w:val="center"/>
        </w:trPr>
        <w:tc>
          <w:tcPr>
            <w:tcW w:w="175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三级</w:t>
            </w:r>
          </w:p>
        </w:tc>
        <w:tc>
          <w:tcPr>
            <w:tcW w:w="542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楷体" w:hAnsi="楷体" w:eastAsia="楷体" w:cs="楷体"/>
                <w:sz w:val="24"/>
                <w:szCs w:val="24"/>
                <w:highlight w:val="none"/>
              </w:rPr>
            </w:pPr>
            <w:r>
              <w:rPr>
                <w:rFonts w:hint="eastAsia" w:ascii="楷体" w:hAnsi="楷体" w:eastAsia="楷体" w:cs="楷体"/>
                <w:sz w:val="24"/>
                <w:szCs w:val="24"/>
                <w:highlight w:val="none"/>
              </w:rPr>
              <w:t>总体风险程度适中，收益存在一定的波动，产品本金出现损失的可能性不容忽视。</w:t>
            </w:r>
          </w:p>
        </w:tc>
        <w:tc>
          <w:tcPr>
            <w:tcW w:w="176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平衡型投资者</w:t>
            </w:r>
            <w:r>
              <w:rPr>
                <w:rFonts w:hint="eastAsia" w:ascii="楷体" w:hAnsi="楷体" w:eastAsia="楷体" w:cs="楷体"/>
                <w:sz w:val="24"/>
                <w:szCs w:val="24"/>
                <w:highlight w:val="none"/>
                <w:lang w:eastAsia="zh-CN"/>
              </w:rPr>
              <w:t>、成长型投资者、进取型投资者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557" w:hRule="atLeast"/>
          <w:jc w:val="center"/>
        </w:trPr>
        <w:tc>
          <w:tcPr>
            <w:tcW w:w="175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四级</w:t>
            </w:r>
          </w:p>
        </w:tc>
        <w:tc>
          <w:tcPr>
            <w:tcW w:w="542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楷体" w:hAnsi="楷体" w:eastAsia="楷体" w:cs="楷体"/>
                <w:sz w:val="24"/>
                <w:szCs w:val="24"/>
                <w:highlight w:val="none"/>
              </w:rPr>
            </w:pPr>
            <w:r>
              <w:rPr>
                <w:rFonts w:hint="eastAsia" w:ascii="楷体" w:hAnsi="楷体" w:eastAsia="楷体" w:cs="楷体"/>
                <w:sz w:val="24"/>
                <w:szCs w:val="24"/>
                <w:highlight w:val="none"/>
              </w:rPr>
              <w:t>总体风险程度高，收益波动较明显，产品本金出现损失的可能性高。</w:t>
            </w:r>
          </w:p>
        </w:tc>
        <w:tc>
          <w:tcPr>
            <w:tcW w:w="176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成长型投资者</w:t>
            </w:r>
            <w:r>
              <w:rPr>
                <w:rFonts w:hint="eastAsia" w:ascii="楷体" w:hAnsi="楷体" w:eastAsia="楷体" w:cs="楷体"/>
                <w:sz w:val="24"/>
                <w:szCs w:val="24"/>
                <w:highlight w:val="none"/>
                <w:lang w:eastAsia="zh-CN"/>
              </w:rPr>
              <w:t>、进取型投资者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532" w:hRule="atLeast"/>
          <w:jc w:val="center"/>
        </w:trPr>
        <w:tc>
          <w:tcPr>
            <w:tcW w:w="175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w:t>
            </w:r>
          </w:p>
        </w:tc>
        <w:tc>
          <w:tcPr>
            <w:tcW w:w="118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五级</w:t>
            </w:r>
          </w:p>
        </w:tc>
        <w:tc>
          <w:tcPr>
            <w:tcW w:w="542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楷体" w:hAnsi="楷体" w:eastAsia="楷体" w:cs="楷体"/>
                <w:sz w:val="24"/>
                <w:szCs w:val="24"/>
                <w:highlight w:val="none"/>
              </w:rPr>
            </w:pPr>
            <w:r>
              <w:rPr>
                <w:rFonts w:hint="eastAsia" w:ascii="楷体" w:hAnsi="楷体" w:eastAsia="楷体" w:cs="楷体"/>
                <w:sz w:val="24"/>
                <w:szCs w:val="24"/>
                <w:highlight w:val="none"/>
              </w:rPr>
              <w:t>总体风险程度高，收益波动明显，产品本金出现损失的可能性很高，产品本金出现全部损失的可能性不容忽视。</w:t>
            </w:r>
          </w:p>
        </w:tc>
        <w:tc>
          <w:tcPr>
            <w:tcW w:w="176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hint="eastAsia" w:ascii="楷体" w:hAnsi="楷体" w:eastAsia="楷体" w:cs="楷体"/>
                <w:sz w:val="24"/>
                <w:szCs w:val="24"/>
                <w:highlight w:val="none"/>
              </w:rPr>
            </w:pPr>
            <w:r>
              <w:rPr>
                <w:rFonts w:hint="eastAsia" w:ascii="楷体" w:hAnsi="楷体" w:eastAsia="楷体" w:cs="楷体"/>
                <w:sz w:val="24"/>
                <w:szCs w:val="24"/>
                <w:highlight w:val="none"/>
              </w:rPr>
              <w:t>进取型投资者</w:t>
            </w:r>
          </w:p>
        </w:tc>
      </w:tr>
    </w:tbl>
    <w:p>
      <w:pPr>
        <w:numPr>
          <w:ilvl w:val="0"/>
          <w:numId w:val="0"/>
        </w:numPr>
        <w:spacing w:line="360" w:lineRule="exact"/>
        <w:ind w:firstLine="0" w:firstLineChars="0"/>
        <w:rPr>
          <w:rFonts w:hint="eastAsia" w:ascii="楷体" w:hAnsi="楷体" w:eastAsia="楷体" w:cs="楷体"/>
          <w:b/>
          <w:bCs/>
          <w:color w:val="000000"/>
          <w:sz w:val="24"/>
          <w:szCs w:val="24"/>
          <w:lang w:val="en-US"/>
        </w:rPr>
      </w:pPr>
    </w:p>
    <w:p>
      <w:pPr>
        <w:numPr>
          <w:ilvl w:val="0"/>
          <w:numId w:val="0"/>
        </w:numPr>
        <w:spacing w:line="360" w:lineRule="exact"/>
        <w:ind w:firstLine="605" w:firstLineChars="201"/>
        <w:rPr>
          <w:rFonts w:hint="eastAsia" w:ascii="楷体" w:hAnsi="楷体" w:eastAsia="楷体" w:cs="楷体"/>
          <w:b/>
          <w:bCs/>
          <w:color w:val="000000"/>
          <w:sz w:val="30"/>
          <w:szCs w:val="30"/>
          <w:lang w:val="en-US"/>
        </w:rPr>
      </w:pPr>
      <w:r>
        <w:rPr>
          <w:rFonts w:hint="eastAsia" w:ascii="楷体" w:hAnsi="楷体" w:eastAsia="楷体" w:cs="楷体"/>
          <w:b/>
          <w:bCs/>
          <w:color w:val="000000"/>
          <w:sz w:val="30"/>
          <w:szCs w:val="30"/>
          <w:lang w:val="en-US"/>
        </w:rPr>
        <w:t>四、</w:t>
      </w:r>
      <w:r>
        <w:rPr>
          <w:rFonts w:hint="eastAsia" w:ascii="楷体" w:hAnsi="楷体" w:eastAsia="楷体" w:cs="楷体"/>
          <w:b/>
          <w:bCs/>
          <w:color w:val="000000"/>
          <w:sz w:val="30"/>
          <w:szCs w:val="30"/>
          <w:lang w:val="en-US" w:eastAsia="zh-CN"/>
        </w:rPr>
        <w:t>理财产品</w:t>
      </w:r>
      <w:r>
        <w:rPr>
          <w:rFonts w:hint="eastAsia" w:ascii="楷体" w:hAnsi="楷体" w:eastAsia="楷体" w:cs="楷体"/>
          <w:b/>
          <w:bCs/>
          <w:color w:val="000000"/>
          <w:sz w:val="30"/>
          <w:szCs w:val="30"/>
          <w:lang w:val="en-US"/>
        </w:rPr>
        <w:t>估值</w:t>
      </w:r>
    </w:p>
    <w:p>
      <w:pPr>
        <w:numPr>
          <w:ilvl w:val="-1"/>
          <w:numId w:val="0"/>
        </w:numPr>
        <w:autoSpaceDE w:val="0"/>
        <w:autoSpaceDN w:val="0"/>
        <w:adjustRightInd w:val="0"/>
        <w:spacing w:line="360" w:lineRule="exact"/>
        <w:ind w:firstLine="482" w:firstLineChars="201"/>
        <w:outlineLvl w:val="9"/>
        <w:rPr>
          <w:rFonts w:hint="eastAsia" w:ascii="楷体" w:hAnsi="楷体" w:eastAsia="楷体" w:cs="楷体"/>
          <w:highlight w:val="none"/>
        </w:rPr>
      </w:pPr>
      <w:r>
        <w:rPr>
          <w:rFonts w:hint="eastAsia" w:ascii="楷体" w:hAnsi="楷体" w:eastAsia="楷体" w:cs="楷体"/>
          <w:color w:val="auto"/>
          <w:sz w:val="24"/>
          <w:szCs w:val="24"/>
          <w:highlight w:val="none"/>
          <w:lang w:val="en-US" w:eastAsia="zh-CN"/>
        </w:rPr>
        <w:t>理财</w:t>
      </w:r>
      <w:r>
        <w:rPr>
          <w:rFonts w:hint="eastAsia" w:ascii="楷体" w:hAnsi="楷体" w:eastAsia="楷体" w:cs="楷体"/>
          <w:color w:val="auto"/>
          <w:sz w:val="24"/>
          <w:szCs w:val="24"/>
          <w:highlight w:val="none"/>
        </w:rPr>
        <w:t>产品根据《关于规范金融机构资产管理业务的指导意见》、《商业银行理财业务监督管理办法》</w:t>
      </w:r>
      <w:r>
        <w:rPr>
          <w:rFonts w:hint="eastAsia" w:ascii="楷体" w:hAnsi="楷体" w:eastAsia="楷体" w:cs="楷体"/>
          <w:color w:val="auto"/>
          <w:sz w:val="24"/>
          <w:szCs w:val="24"/>
          <w:highlight w:val="none"/>
          <w:lang w:val="en-US" w:eastAsia="zh-CN"/>
        </w:rPr>
        <w:t>等</w:t>
      </w:r>
      <w:r>
        <w:rPr>
          <w:rFonts w:hint="eastAsia" w:ascii="楷体" w:hAnsi="楷体" w:eastAsia="楷体" w:cs="楷体"/>
          <w:color w:val="auto"/>
          <w:sz w:val="24"/>
          <w:szCs w:val="24"/>
          <w:highlight w:val="none"/>
        </w:rPr>
        <w:t>的要求进行估值。</w:t>
      </w:r>
    </w:p>
    <w:p>
      <w:pPr>
        <w:numPr>
          <w:ilvl w:val="-1"/>
          <w:numId w:val="0"/>
        </w:numPr>
        <w:autoSpaceDE w:val="0"/>
        <w:autoSpaceDN w:val="0"/>
        <w:adjustRightInd w:val="0"/>
        <w:spacing w:line="360" w:lineRule="exact"/>
        <w:ind w:firstLine="0" w:firstLineChars="0"/>
        <w:outlineLvl w:val="9"/>
        <w:rPr>
          <w:rFonts w:hint="eastAsia" w:ascii="楷体" w:hAnsi="楷体" w:eastAsia="楷体" w:cs="楷体"/>
          <w:b w:val="0"/>
          <w:bCs w:val="0"/>
          <w:color w:val="auto"/>
          <w:sz w:val="21"/>
          <w:szCs w:val="24"/>
          <w:highlight w:val="yellow"/>
          <w:lang w:val="en-US"/>
        </w:rPr>
      </w:pPr>
    </w:p>
    <w:p>
      <w:pPr>
        <w:numPr>
          <w:ilvl w:val="0"/>
          <w:numId w:val="1"/>
        </w:numPr>
        <w:spacing w:line="360" w:lineRule="exact"/>
        <w:ind w:firstLine="605" w:firstLineChars="201"/>
        <w:rPr>
          <w:rFonts w:hint="eastAsia" w:ascii="楷体" w:hAnsi="楷体" w:eastAsia="楷体" w:cs="楷体"/>
          <w:b/>
          <w:bCs/>
          <w:sz w:val="30"/>
          <w:szCs w:val="30"/>
          <w:highlight w:val="none"/>
          <w:lang w:eastAsia="zh-CN"/>
        </w:rPr>
      </w:pPr>
      <w:r>
        <w:rPr>
          <w:rFonts w:hint="eastAsia" w:ascii="楷体" w:hAnsi="楷体" w:eastAsia="楷体" w:cs="楷体"/>
          <w:b/>
          <w:bCs/>
          <w:sz w:val="30"/>
          <w:szCs w:val="30"/>
          <w:highlight w:val="none"/>
          <w:lang w:eastAsia="zh-CN"/>
        </w:rPr>
        <w:t>产品申购、赎回情况说明</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rPr>
        <w:t>申购是指投资者在产品的开放期申请购买该理财产品。投资者提出申购申请后，投资本金将被实时冻结</w:t>
      </w:r>
      <w:r>
        <w:rPr>
          <w:rFonts w:hint="eastAsia" w:ascii="楷体" w:hAnsi="楷体" w:eastAsia="楷体" w:cs="楷体"/>
          <w:sz w:val="24"/>
          <w:szCs w:val="24"/>
          <w:highlight w:val="none"/>
          <w:lang w:val="en-US" w:eastAsia="zh-CN"/>
        </w:rPr>
        <w:t>，并于申购当日起的最近一个清算确认日进行扣划。</w:t>
      </w:r>
      <w:r>
        <w:rPr>
          <w:rFonts w:hint="eastAsia" w:ascii="楷体" w:hAnsi="楷体" w:eastAsia="楷体" w:cs="楷体"/>
          <w:sz w:val="24"/>
          <w:szCs w:val="24"/>
          <w:highlight w:val="none"/>
        </w:rPr>
        <w:t>客户申购申请为预受理状态，客户可在</w:t>
      </w:r>
      <w:r>
        <w:rPr>
          <w:rFonts w:hint="eastAsia" w:ascii="楷体" w:hAnsi="楷体" w:eastAsia="楷体" w:cs="楷体"/>
          <w:sz w:val="24"/>
          <w:szCs w:val="24"/>
          <w:highlight w:val="none"/>
          <w:lang w:val="en-US" w:eastAsia="zh-CN"/>
        </w:rPr>
        <w:t>开放期</w:t>
      </w:r>
      <w:r>
        <w:rPr>
          <w:rFonts w:hint="eastAsia" w:ascii="楷体" w:hAnsi="楷体" w:eastAsia="楷体" w:cs="楷体"/>
          <w:sz w:val="24"/>
          <w:szCs w:val="24"/>
          <w:highlight w:val="none"/>
        </w:rPr>
        <w:t>结束日</w:t>
      </w:r>
      <w:r>
        <w:rPr>
          <w:rFonts w:hint="eastAsia" w:ascii="楷体" w:hAnsi="楷体" w:eastAsia="楷体" w:cs="楷体"/>
          <w:sz w:val="24"/>
          <w:szCs w:val="24"/>
          <w:highlight w:val="none"/>
          <w:lang w:val="en-US" w:eastAsia="zh-CN"/>
        </w:rPr>
        <w:t>16</w:t>
      </w: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0 前通过撤单交易，取消申购申请</w:t>
      </w:r>
      <w:r>
        <w:rPr>
          <w:rFonts w:hint="eastAsia" w:ascii="楷体" w:hAnsi="楷体" w:eastAsia="楷体" w:cs="楷体"/>
          <w:sz w:val="24"/>
          <w:szCs w:val="24"/>
          <w:highlight w:val="none"/>
          <w:lang w:eastAsia="zh-CN"/>
        </w:rPr>
        <w:t>，待</w:t>
      </w:r>
      <w:r>
        <w:rPr>
          <w:rFonts w:hint="eastAsia" w:ascii="楷体" w:hAnsi="楷体" w:eastAsia="楷体" w:cs="楷体"/>
          <w:sz w:val="24"/>
          <w:szCs w:val="24"/>
          <w:highlight w:val="none"/>
          <w:lang w:val="en-US" w:eastAsia="zh-CN"/>
        </w:rPr>
        <w:t>清算</w:t>
      </w:r>
      <w:r>
        <w:rPr>
          <w:rFonts w:hint="eastAsia" w:ascii="楷体" w:hAnsi="楷体" w:eastAsia="楷体" w:cs="楷体"/>
          <w:sz w:val="24"/>
          <w:szCs w:val="24"/>
          <w:highlight w:val="none"/>
        </w:rPr>
        <w:t>确认日银行系统完成处理后，投资者将可查询自己持有的份额。</w:t>
      </w:r>
    </w:p>
    <w:p>
      <w:pPr>
        <w:numPr>
          <w:ilvl w:val="-1"/>
          <w:numId w:val="0"/>
        </w:numPr>
        <w:spacing w:line="360" w:lineRule="exact"/>
        <w:ind w:firstLine="480" w:firstLineChars="200"/>
        <w:jc w:val="both"/>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lang w:eastAsia="zh-CN"/>
        </w:rPr>
        <w:t>.赎回是指投资者在产品的开放期申请赎回该理财产品。投资者提出赎回申请后，赎回资金将于</w:t>
      </w:r>
      <w:r>
        <w:rPr>
          <w:rFonts w:hint="eastAsia" w:ascii="楷体" w:hAnsi="楷体" w:eastAsia="楷体" w:cs="楷体"/>
          <w:sz w:val="24"/>
          <w:szCs w:val="24"/>
          <w:highlight w:val="none"/>
          <w:lang w:val="en-US" w:eastAsia="zh-CN"/>
        </w:rPr>
        <w:t>赎回当日起的</w:t>
      </w:r>
      <w:r>
        <w:rPr>
          <w:rFonts w:hint="eastAsia" w:ascii="楷体" w:hAnsi="楷体" w:eastAsia="楷体" w:cs="楷体"/>
          <w:sz w:val="24"/>
          <w:szCs w:val="24"/>
          <w:highlight w:val="none"/>
          <w:lang w:eastAsia="zh-CN"/>
        </w:rPr>
        <w:t>最近一个</w:t>
      </w:r>
      <w:r>
        <w:rPr>
          <w:rFonts w:hint="eastAsia" w:ascii="楷体" w:hAnsi="楷体" w:eastAsia="楷体" w:cs="楷体"/>
          <w:sz w:val="24"/>
          <w:szCs w:val="24"/>
          <w:highlight w:val="none"/>
          <w:lang w:val="en-US" w:eastAsia="zh-CN"/>
        </w:rPr>
        <w:t>清算确认</w:t>
      </w:r>
      <w:r>
        <w:rPr>
          <w:rFonts w:hint="eastAsia" w:ascii="楷体" w:hAnsi="楷体" w:eastAsia="楷体" w:cs="楷体"/>
          <w:sz w:val="24"/>
          <w:szCs w:val="24"/>
          <w:highlight w:val="none"/>
          <w:lang w:eastAsia="zh-CN"/>
        </w:rPr>
        <w:t>日后一工作日</w:t>
      </w:r>
      <w:r>
        <w:rPr>
          <w:rFonts w:hint="eastAsia" w:ascii="楷体" w:hAnsi="楷体" w:eastAsia="楷体" w:cs="楷体"/>
          <w:sz w:val="24"/>
          <w:szCs w:val="24"/>
          <w:highlight w:val="none"/>
          <w:lang w:val="en-US" w:eastAsia="zh-CN"/>
        </w:rPr>
        <w:t>内</w:t>
      </w:r>
      <w:r>
        <w:rPr>
          <w:rFonts w:hint="eastAsia" w:ascii="楷体" w:hAnsi="楷体" w:eastAsia="楷体" w:cs="楷体"/>
          <w:sz w:val="24"/>
          <w:szCs w:val="24"/>
          <w:highlight w:val="none"/>
          <w:lang w:eastAsia="zh-CN"/>
        </w:rPr>
        <w:t>兑付至投资者约定交易账户。赎回申请截止时间为</w:t>
      </w:r>
      <w:r>
        <w:rPr>
          <w:rFonts w:hint="eastAsia" w:ascii="楷体" w:hAnsi="楷体" w:eastAsia="楷体" w:cs="楷体"/>
          <w:sz w:val="24"/>
          <w:szCs w:val="24"/>
          <w:highlight w:val="none"/>
          <w:lang w:val="en-US" w:eastAsia="zh-CN"/>
        </w:rPr>
        <w:t>每个开放期结束日</w:t>
      </w:r>
      <w:r>
        <w:rPr>
          <w:rFonts w:hint="eastAsia" w:ascii="楷体" w:hAnsi="楷体" w:eastAsia="楷体" w:cs="楷体"/>
          <w:sz w:val="24"/>
          <w:szCs w:val="24"/>
          <w:highlight w:val="none"/>
          <w:lang w:eastAsia="zh-CN"/>
        </w:rPr>
        <w:t>1</w:t>
      </w:r>
      <w:r>
        <w:rPr>
          <w:rFonts w:hint="eastAsia" w:ascii="楷体" w:hAnsi="楷体" w:eastAsia="楷体" w:cs="楷体"/>
          <w:sz w:val="24"/>
          <w:szCs w:val="24"/>
          <w:highlight w:val="none"/>
          <w:lang w:val="en-US" w:eastAsia="zh-CN"/>
        </w:rPr>
        <w:t>6</w:t>
      </w:r>
      <w:r>
        <w:rPr>
          <w:rFonts w:hint="eastAsia" w:ascii="楷体" w:hAnsi="楷体" w:eastAsia="楷体" w:cs="楷体"/>
          <w:sz w:val="24"/>
          <w:szCs w:val="24"/>
          <w:highlight w:val="none"/>
          <w:lang w:eastAsia="zh-CN"/>
        </w:rPr>
        <w:t>:30。投资者的赎回申请可于交易发生之后至临近的开放</w:t>
      </w:r>
      <w:r>
        <w:rPr>
          <w:rFonts w:hint="eastAsia" w:ascii="楷体" w:hAnsi="楷体" w:eastAsia="楷体" w:cs="楷体"/>
          <w:sz w:val="24"/>
          <w:szCs w:val="24"/>
          <w:highlight w:val="none"/>
          <w:lang w:val="en-US" w:eastAsia="zh-CN"/>
        </w:rPr>
        <w:t>期结束日</w:t>
      </w:r>
      <w:r>
        <w:rPr>
          <w:rFonts w:hint="eastAsia" w:ascii="楷体" w:hAnsi="楷体" w:eastAsia="楷体" w:cs="楷体"/>
          <w:sz w:val="24"/>
          <w:szCs w:val="24"/>
          <w:highlight w:val="none"/>
          <w:lang w:eastAsia="zh-CN"/>
        </w:rPr>
        <w:t>1</w:t>
      </w:r>
      <w:r>
        <w:rPr>
          <w:rFonts w:hint="eastAsia" w:ascii="楷体" w:hAnsi="楷体" w:eastAsia="楷体" w:cs="楷体"/>
          <w:sz w:val="24"/>
          <w:szCs w:val="24"/>
          <w:highlight w:val="none"/>
          <w:lang w:val="en-US" w:eastAsia="zh-CN"/>
        </w:rPr>
        <w:t>6</w:t>
      </w:r>
      <w:r>
        <w:rPr>
          <w:rFonts w:hint="eastAsia" w:ascii="楷体" w:hAnsi="楷体" w:eastAsia="楷体" w:cs="楷体"/>
          <w:sz w:val="24"/>
          <w:szCs w:val="24"/>
          <w:highlight w:val="none"/>
          <w:lang w:eastAsia="zh-CN"/>
        </w:rPr>
        <w:t>:30 前撤销。</w:t>
      </w:r>
    </w:p>
    <w:p>
      <w:pPr>
        <w:numPr>
          <w:ilvl w:val="-1"/>
          <w:numId w:val="0"/>
        </w:numPr>
        <w:spacing w:line="360" w:lineRule="exact"/>
        <w:ind w:firstLine="482" w:firstLineChars="200"/>
        <w:rPr>
          <w:rFonts w:hint="eastAsia" w:ascii="楷体" w:hAnsi="楷体" w:eastAsia="楷体" w:cs="楷体"/>
          <w:b/>
          <w:bCs/>
          <w:color w:val="000000"/>
          <w:sz w:val="24"/>
          <w:szCs w:val="24"/>
          <w:lang w:val="en-US" w:eastAsia="zh-CN"/>
        </w:rPr>
      </w:pPr>
    </w:p>
    <w:p>
      <w:pPr>
        <w:numPr>
          <w:ilvl w:val="0"/>
          <w:numId w:val="1"/>
        </w:numPr>
        <w:spacing w:line="360" w:lineRule="exact"/>
        <w:ind w:firstLine="605" w:firstLineChars="201"/>
        <w:rPr>
          <w:rFonts w:hint="eastAsia" w:ascii="楷体" w:hAnsi="楷体" w:eastAsia="楷体" w:cs="楷体"/>
          <w:b/>
          <w:bCs/>
          <w:color w:val="000000"/>
          <w:sz w:val="30"/>
          <w:szCs w:val="30"/>
        </w:rPr>
      </w:pPr>
      <w:r>
        <w:rPr>
          <w:rFonts w:hint="eastAsia" w:ascii="楷体" w:hAnsi="楷体" w:eastAsia="楷体" w:cs="楷体"/>
          <w:b/>
          <w:bCs/>
          <w:color w:val="000000"/>
          <w:sz w:val="30"/>
          <w:szCs w:val="30"/>
        </w:rPr>
        <w:t>产品费用</w:t>
      </w:r>
      <w:r>
        <w:rPr>
          <w:rFonts w:hint="eastAsia" w:ascii="楷体" w:hAnsi="楷体" w:eastAsia="楷体" w:cs="楷体"/>
          <w:b/>
          <w:bCs/>
          <w:color w:val="000000"/>
          <w:sz w:val="30"/>
          <w:szCs w:val="30"/>
          <w:lang w:val="en-US" w:eastAsia="zh-CN"/>
        </w:rPr>
        <w:t>及</w:t>
      </w:r>
      <w:r>
        <w:rPr>
          <w:rFonts w:hint="eastAsia" w:ascii="楷体" w:hAnsi="楷体" w:eastAsia="楷体" w:cs="楷体"/>
          <w:b/>
          <w:bCs/>
          <w:color w:val="000000"/>
          <w:sz w:val="30"/>
          <w:szCs w:val="30"/>
        </w:rPr>
        <w:t>税收</w:t>
      </w:r>
    </w:p>
    <w:p>
      <w:pPr>
        <w:numPr>
          <w:ilvl w:val="0"/>
          <w:numId w:val="2"/>
        </w:numPr>
        <w:autoSpaceDE w:val="0"/>
        <w:autoSpaceDN w:val="0"/>
        <w:adjustRightInd w:val="0"/>
        <w:spacing w:line="360" w:lineRule="exact"/>
        <w:ind w:firstLine="480" w:firstLineChars="200"/>
        <w:rPr>
          <w:rFonts w:hint="eastAsia" w:ascii="楷体" w:hAnsi="楷体" w:eastAsia="楷体" w:cs="楷体"/>
          <w:sz w:val="24"/>
        </w:rPr>
      </w:pPr>
      <w:r>
        <w:rPr>
          <w:rFonts w:hint="eastAsia" w:ascii="楷体" w:hAnsi="楷体" w:eastAsia="楷体" w:cs="楷体"/>
          <w:sz w:val="24"/>
        </w:rPr>
        <w:t>产品费用计提方法和计提标准</w:t>
      </w:r>
    </w:p>
    <w:p>
      <w:pPr>
        <w:numPr>
          <w:ilvl w:val="-1"/>
          <w:numId w:val="0"/>
        </w:numPr>
        <w:autoSpaceDE w:val="0"/>
        <w:autoSpaceDN w:val="0"/>
        <w:adjustRightInd w:val="0"/>
        <w:spacing w:line="360" w:lineRule="exact"/>
        <w:ind w:firstLine="480" w:firstLineChars="200"/>
        <w:jc w:val="both"/>
        <w:rPr>
          <w:rFonts w:hint="eastAsia" w:ascii="楷体" w:hAnsi="楷体" w:eastAsia="楷体" w:cs="楷体"/>
          <w:sz w:val="24"/>
        </w:rPr>
      </w:pPr>
      <w:r>
        <w:rPr>
          <w:rFonts w:hint="eastAsia" w:ascii="楷体" w:hAnsi="楷体" w:eastAsia="楷体" w:cs="楷体"/>
          <w:sz w:val="24"/>
          <w:lang w:val="en-US" w:eastAsia="zh-CN"/>
        </w:rPr>
        <w:t>1.</w:t>
      </w:r>
      <w:r>
        <w:rPr>
          <w:rFonts w:hint="eastAsia" w:ascii="楷体" w:hAnsi="楷体" w:eastAsia="楷体" w:cs="楷体"/>
          <w:sz w:val="24"/>
        </w:rPr>
        <w:t>认/申购费：本理财产品暂不收取认/申购费。</w:t>
      </w:r>
    </w:p>
    <w:p>
      <w:pPr>
        <w:numPr>
          <w:ilvl w:val="-1"/>
          <w:numId w:val="0"/>
        </w:numPr>
        <w:autoSpaceDE w:val="0"/>
        <w:autoSpaceDN w:val="0"/>
        <w:adjustRightInd w:val="0"/>
        <w:spacing w:line="360" w:lineRule="exact"/>
        <w:ind w:firstLine="480" w:firstLineChars="200"/>
        <w:jc w:val="both"/>
        <w:rPr>
          <w:rFonts w:hint="eastAsia" w:ascii="楷体" w:hAnsi="楷体" w:eastAsia="楷体" w:cs="楷体"/>
          <w:sz w:val="24"/>
        </w:rPr>
      </w:pPr>
      <w:r>
        <w:rPr>
          <w:rFonts w:hint="eastAsia" w:ascii="楷体" w:hAnsi="楷体" w:eastAsia="楷体" w:cs="楷体"/>
          <w:sz w:val="24"/>
          <w:lang w:val="en-US" w:eastAsia="zh-CN"/>
        </w:rPr>
        <w:t>2.</w:t>
      </w:r>
      <w:r>
        <w:rPr>
          <w:rFonts w:hint="eastAsia" w:ascii="楷体" w:hAnsi="楷体" w:eastAsia="楷体" w:cs="楷体"/>
          <w:sz w:val="24"/>
        </w:rPr>
        <w:t>赎回费：本理财产品暂不收取赎回费。</w:t>
      </w:r>
    </w:p>
    <w:p>
      <w:pPr>
        <w:spacing w:line="240" w:lineRule="auto"/>
        <w:ind w:firstLine="480" w:firstLineChars="200"/>
        <w:jc w:val="both"/>
        <w:rPr>
          <w:rFonts w:hint="eastAsia" w:ascii="楷体" w:hAnsi="楷体" w:eastAsia="楷体" w:cs="楷体"/>
          <w:color w:val="000000"/>
          <w:sz w:val="24"/>
          <w:szCs w:val="24"/>
          <w:lang w:val="en-US" w:eastAsia="zh-CN"/>
        </w:rPr>
      </w:pPr>
      <w:r>
        <w:rPr>
          <w:rFonts w:hint="eastAsia" w:ascii="楷体" w:hAnsi="楷体" w:eastAsia="楷体" w:cs="楷体"/>
          <w:sz w:val="24"/>
        </w:rPr>
        <w:t>3.销售费：本理财产品暂不收取销售费。</w:t>
      </w:r>
    </w:p>
    <w:p>
      <w:pPr>
        <w:spacing w:line="240" w:lineRule="auto"/>
        <w:ind w:firstLine="480" w:firstLineChars="200"/>
        <w:jc w:val="both"/>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4.</w:t>
      </w:r>
      <w:r>
        <w:rPr>
          <w:rFonts w:hint="eastAsia" w:ascii="楷体" w:hAnsi="楷体" w:eastAsia="楷体" w:cs="楷体"/>
          <w:color w:val="000000"/>
          <w:sz w:val="24"/>
          <w:szCs w:val="24"/>
          <w:lang w:val="en-US"/>
        </w:rPr>
        <w:t>产品托管费：</w:t>
      </w:r>
      <w:r>
        <w:rPr>
          <w:rFonts w:hint="eastAsia" w:ascii="楷体" w:hAnsi="楷体" w:eastAsia="楷体" w:cs="楷体"/>
          <w:color w:val="000000"/>
          <w:sz w:val="24"/>
          <w:szCs w:val="24"/>
          <w:lang w:val="en-US" w:eastAsia="zh-CN"/>
        </w:rPr>
        <w:t>0.002%/年，按当日实收资本的</w:t>
      </w:r>
      <w:r>
        <w:rPr>
          <w:rFonts w:hint="eastAsia" w:ascii="楷体" w:hAnsi="楷体" w:eastAsia="楷体" w:cs="楷体"/>
          <w:color w:val="000000"/>
          <w:sz w:val="24"/>
          <w:szCs w:val="24"/>
          <w:lang w:val="en-US"/>
        </w:rPr>
        <w:t>0.0</w:t>
      </w:r>
      <w:r>
        <w:rPr>
          <w:rFonts w:hint="eastAsia" w:ascii="楷体" w:hAnsi="楷体" w:eastAsia="楷体" w:cs="楷体"/>
          <w:color w:val="000000"/>
          <w:sz w:val="24"/>
          <w:szCs w:val="24"/>
          <w:lang w:val="en-US" w:eastAsia="zh-CN"/>
        </w:rPr>
        <w:t>02</w:t>
      </w:r>
      <w:r>
        <w:rPr>
          <w:rFonts w:hint="eastAsia" w:ascii="楷体" w:hAnsi="楷体" w:eastAsia="楷体" w:cs="楷体"/>
          <w:color w:val="000000"/>
          <w:sz w:val="24"/>
          <w:szCs w:val="24"/>
          <w:lang w:val="en-US"/>
        </w:rPr>
        <w:t>%</w:t>
      </w:r>
      <w:r>
        <w:rPr>
          <w:rFonts w:hint="eastAsia" w:ascii="楷体" w:hAnsi="楷体" w:eastAsia="楷体" w:cs="楷体"/>
          <w:color w:val="000000"/>
          <w:sz w:val="24"/>
          <w:szCs w:val="24"/>
          <w:lang w:val="en-US" w:eastAsia="zh-CN"/>
        </w:rPr>
        <w:t>/年费率每日计提。</w:t>
      </w:r>
    </w:p>
    <w:p>
      <w:pPr>
        <w:autoSpaceDE/>
        <w:autoSpaceDN/>
        <w:adjustRightInd/>
        <w:spacing w:line="240" w:lineRule="auto"/>
        <w:ind w:firstLine="480" w:firstLineChars="200"/>
        <w:jc w:val="both"/>
        <w:rPr>
          <w:rFonts w:hint="eastAsia" w:ascii="楷体" w:hAnsi="楷体" w:eastAsia="楷体" w:cs="楷体"/>
          <w:color w:val="auto"/>
          <w:sz w:val="24"/>
          <w:szCs w:val="24"/>
          <w:highlight w:val="none"/>
          <w:lang w:val="en-US" w:eastAsia="zh-CN"/>
        </w:rPr>
      </w:pPr>
      <w:r>
        <w:rPr>
          <w:rFonts w:hint="eastAsia" w:ascii="楷体" w:hAnsi="楷体" w:eastAsia="楷体" w:cs="楷体"/>
          <w:color w:val="000000"/>
          <w:sz w:val="24"/>
          <w:szCs w:val="24"/>
          <w:lang w:val="en-US" w:eastAsia="zh-CN"/>
        </w:rPr>
        <w:t>5.</w:t>
      </w:r>
      <w:r>
        <w:rPr>
          <w:rFonts w:hint="eastAsia" w:ascii="楷体" w:hAnsi="楷体" w:eastAsia="楷体" w:cs="楷体"/>
          <w:color w:val="000000"/>
          <w:sz w:val="24"/>
          <w:szCs w:val="24"/>
          <w:highlight w:val="none"/>
          <w:lang w:val="en-US"/>
        </w:rPr>
        <w:t>固定管理费：</w:t>
      </w:r>
      <w:r>
        <w:rPr>
          <w:rFonts w:hint="eastAsia" w:ascii="楷体" w:hAnsi="楷体" w:eastAsia="楷体" w:cs="楷体"/>
          <w:color w:val="auto"/>
          <w:sz w:val="24"/>
          <w:szCs w:val="24"/>
          <w:highlight w:val="none"/>
          <w:lang w:val="en-US" w:eastAsia="zh-CN"/>
        </w:rPr>
        <w:t>0.60%/年,按当日实收资本的0.60%/年费率每日计提，管理人</w:t>
      </w:r>
      <w:r>
        <w:rPr>
          <w:rFonts w:hint="eastAsia" w:ascii="楷体" w:hAnsi="楷体" w:eastAsia="楷体" w:cs="楷体"/>
          <w:color w:val="auto"/>
          <w:sz w:val="24"/>
          <w:szCs w:val="24"/>
          <w:highlight w:val="none"/>
          <w:lang w:val="en-US"/>
        </w:rPr>
        <w:t>有权减免收取固定管理费</w:t>
      </w:r>
      <w:r>
        <w:rPr>
          <w:rFonts w:hint="eastAsia" w:ascii="楷体" w:hAnsi="楷体" w:eastAsia="楷体" w:cs="楷体"/>
          <w:color w:val="auto"/>
          <w:sz w:val="24"/>
          <w:szCs w:val="24"/>
          <w:highlight w:val="none"/>
          <w:lang w:val="en-US" w:eastAsia="zh-CN"/>
        </w:rPr>
        <w:t>。</w:t>
      </w:r>
    </w:p>
    <w:p>
      <w:pPr>
        <w:spacing w:line="276" w:lineRule="auto"/>
        <w:ind w:firstLine="437"/>
        <w:rPr>
          <w:rFonts w:hint="default" w:ascii="楷体" w:hAnsi="楷体" w:eastAsia="楷体" w:cs="楷体"/>
          <w:color w:val="auto"/>
          <w:sz w:val="24"/>
        </w:rPr>
      </w:pPr>
      <w:r>
        <w:rPr>
          <w:rFonts w:hint="eastAsia" w:ascii="楷体" w:hAnsi="楷体" w:eastAsia="楷体" w:cs="楷体"/>
          <w:color w:val="auto"/>
          <w:sz w:val="24"/>
          <w:szCs w:val="24"/>
          <w:lang w:val="en-US" w:eastAsia="zh-CN"/>
        </w:rPr>
        <w:t>6.超额业绩报酬</w:t>
      </w:r>
      <w:r>
        <w:rPr>
          <w:rFonts w:hint="eastAsia" w:ascii="楷体" w:hAnsi="楷体" w:eastAsia="楷体" w:cs="楷体"/>
          <w:color w:val="auto"/>
          <w:sz w:val="24"/>
          <w:szCs w:val="24"/>
          <w:lang w:val="en-US"/>
        </w:rPr>
        <w:t>：</w:t>
      </w:r>
      <w:r>
        <w:rPr>
          <w:rFonts w:hint="eastAsia" w:ascii="楷体" w:hAnsi="楷体" w:eastAsia="楷体" w:cs="楷体"/>
          <w:color w:val="auto"/>
          <w:sz w:val="24"/>
          <w:szCs w:val="24"/>
          <w:lang w:val="en-US" w:eastAsia="zh-CN"/>
        </w:rPr>
        <w:t>超额业绩报酬的收取视单个投资周期产品净值增长率（r）而定，根据</w:t>
      </w:r>
      <w:r>
        <w:rPr>
          <w:rFonts w:hint="default" w:ascii="楷体" w:hAnsi="楷体" w:eastAsia="楷体" w:cs="楷体"/>
          <w:color w:val="auto"/>
          <w:sz w:val="24"/>
        </w:rPr>
        <w:t>计提上、下阈值和计提比例</w:t>
      </w:r>
      <w:r>
        <w:rPr>
          <w:rFonts w:hint="eastAsia" w:ascii="楷体" w:hAnsi="楷体" w:eastAsia="楷体" w:cs="楷体"/>
          <w:color w:val="auto"/>
          <w:sz w:val="24"/>
          <w:lang w:val="en-US" w:eastAsia="zh-CN"/>
        </w:rPr>
        <w:t>于每个投资周期结束时</w:t>
      </w:r>
      <w:r>
        <w:rPr>
          <w:rFonts w:hint="default" w:ascii="楷体" w:hAnsi="楷体" w:eastAsia="楷体" w:cs="楷体"/>
          <w:color w:val="auto"/>
          <w:sz w:val="24"/>
        </w:rPr>
        <w:t>计提</w:t>
      </w:r>
      <w:r>
        <w:rPr>
          <w:rFonts w:hint="eastAsia" w:ascii="楷体" w:hAnsi="楷体" w:eastAsia="楷体" w:cs="楷体"/>
          <w:color w:val="auto"/>
          <w:sz w:val="24"/>
          <w:lang w:eastAsia="zh-CN"/>
        </w:rPr>
        <w:t>。</w:t>
      </w:r>
      <w:r>
        <w:rPr>
          <w:rFonts w:hint="eastAsia" w:ascii="楷体" w:hAnsi="楷体" w:eastAsia="楷体" w:cs="楷体"/>
          <w:color w:val="auto"/>
          <w:sz w:val="24"/>
          <w:szCs w:val="24"/>
          <w:lang w:val="en-US" w:eastAsia="zh-CN"/>
        </w:rPr>
        <w:t>具体</w:t>
      </w:r>
      <w:r>
        <w:rPr>
          <w:rFonts w:hint="default" w:ascii="楷体" w:hAnsi="楷体" w:eastAsia="楷体" w:cs="楷体"/>
          <w:color w:val="auto"/>
          <w:sz w:val="24"/>
        </w:rPr>
        <w:t>计提方法如下：</w:t>
      </w:r>
    </w:p>
    <w:p>
      <w:pPr>
        <w:spacing w:line="276"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产品净值增长率（r）依据当期清算确认日（含）产品单位净值、下一期清算确认日（不含）产品单位净值和周期运作天数折算年化收益率；</w:t>
      </w:r>
    </w:p>
    <w:p>
      <w:pPr>
        <w:spacing w:line="276" w:lineRule="auto"/>
        <w:ind w:firstLine="480" w:firstLineChars="200"/>
        <w:rPr>
          <w:rFonts w:ascii="楷体" w:hAnsi="楷体" w:eastAsia="楷体" w:cs="楷体"/>
          <w:color w:val="auto"/>
          <w:sz w:val="24"/>
        </w:rPr>
      </w:pPr>
      <w:r>
        <w:rPr>
          <w:rFonts w:hint="default" w:ascii="楷体" w:hAnsi="楷体" w:eastAsia="楷体" w:cs="楷体"/>
          <w:color w:val="auto"/>
          <w:sz w:val="24"/>
        </w:rPr>
        <w:t>R</w:t>
      </w:r>
      <w:r>
        <w:rPr>
          <w:rFonts w:ascii="楷体" w:hAnsi="楷体" w:eastAsia="楷体" w:cs="楷体"/>
          <w:color w:val="auto"/>
          <w:sz w:val="24"/>
        </w:rPr>
        <w:t>2</w:t>
      </w:r>
      <w:r>
        <w:rPr>
          <w:rFonts w:hint="default" w:ascii="楷体" w:hAnsi="楷体" w:eastAsia="楷体" w:cs="楷体"/>
          <w:color w:val="auto"/>
          <w:sz w:val="24"/>
        </w:rPr>
        <w:t>、R1分别为业绩报酬计提的</w:t>
      </w:r>
      <w:r>
        <w:rPr>
          <w:rFonts w:ascii="楷体" w:hAnsi="楷体" w:eastAsia="楷体" w:cs="楷体"/>
          <w:color w:val="auto"/>
          <w:sz w:val="24"/>
        </w:rPr>
        <w:t>上阈值</w:t>
      </w:r>
      <w:r>
        <w:rPr>
          <w:rFonts w:hint="default" w:ascii="楷体" w:hAnsi="楷体" w:eastAsia="楷体" w:cs="楷体"/>
          <w:color w:val="auto"/>
          <w:sz w:val="24"/>
        </w:rPr>
        <w:t>、</w:t>
      </w:r>
      <w:r>
        <w:rPr>
          <w:rFonts w:ascii="楷体" w:hAnsi="楷体" w:eastAsia="楷体" w:cs="楷体"/>
          <w:color w:val="auto"/>
          <w:sz w:val="24"/>
        </w:rPr>
        <w:t>下阈值</w:t>
      </w:r>
      <w:r>
        <w:rPr>
          <w:rFonts w:hint="default" w:ascii="楷体" w:hAnsi="楷体" w:eastAsia="楷体" w:cs="楷体"/>
          <w:color w:val="auto"/>
          <w:sz w:val="24"/>
        </w:rPr>
        <w:t>，本产品当前R1设置</w:t>
      </w:r>
      <w:r>
        <w:rPr>
          <w:rFonts w:ascii="楷体" w:hAnsi="楷体" w:eastAsia="楷体" w:cs="楷体"/>
          <w:color w:val="auto"/>
          <w:sz w:val="24"/>
        </w:rPr>
        <w:t>为0</w:t>
      </w:r>
      <w:r>
        <w:rPr>
          <w:rFonts w:hint="default" w:ascii="楷体" w:hAnsi="楷体" w:eastAsia="楷体" w:cs="楷体"/>
          <w:color w:val="auto"/>
          <w:sz w:val="24"/>
        </w:rPr>
        <w:t>%，R2</w:t>
      </w:r>
      <w:r>
        <w:rPr>
          <w:rFonts w:hint="eastAsia" w:ascii="楷体" w:hAnsi="楷体" w:eastAsia="楷体" w:cs="楷体"/>
          <w:color w:val="auto"/>
          <w:sz w:val="24"/>
          <w:lang w:eastAsia="zh-CN"/>
        </w:rPr>
        <w:t>为</w:t>
      </w:r>
      <w:r>
        <w:rPr>
          <w:rFonts w:hint="eastAsia" w:ascii="楷体" w:hAnsi="楷体" w:eastAsia="楷体" w:cs="楷体"/>
          <w:color w:val="auto"/>
          <w:sz w:val="24"/>
          <w:lang w:val="en-US" w:eastAsia="zh-CN"/>
        </w:rPr>
        <w:t>2.80%</w:t>
      </w:r>
      <w:r>
        <w:rPr>
          <w:rFonts w:hint="default" w:ascii="楷体" w:hAnsi="楷体" w:eastAsia="楷体" w:cs="楷体"/>
          <w:color w:val="auto"/>
          <w:sz w:val="24"/>
        </w:rPr>
        <w:t>；</w:t>
      </w:r>
    </w:p>
    <w:p>
      <w:pPr>
        <w:spacing w:line="276" w:lineRule="auto"/>
        <w:ind w:firstLine="437"/>
        <w:rPr>
          <w:rFonts w:hint="default" w:ascii="楷体" w:hAnsi="楷体" w:eastAsia="楷体" w:cs="楷体"/>
          <w:color w:val="auto"/>
          <w:sz w:val="24"/>
        </w:rPr>
      </w:pPr>
      <w:r>
        <w:rPr>
          <w:rFonts w:hint="eastAsia" w:ascii="楷体" w:hAnsi="楷体" w:eastAsia="楷体" w:cs="楷体"/>
          <w:color w:val="auto"/>
          <w:sz w:val="24"/>
        </w:rPr>
        <w:t>P</w:t>
      </w:r>
      <w:r>
        <w:rPr>
          <w:rFonts w:ascii="楷体" w:hAnsi="楷体" w:eastAsia="楷体" w:cs="楷体"/>
          <w:color w:val="auto"/>
          <w:sz w:val="24"/>
        </w:rPr>
        <w:t>2</w:t>
      </w:r>
      <w:r>
        <w:rPr>
          <w:rFonts w:hint="default" w:ascii="楷体" w:hAnsi="楷体" w:eastAsia="楷体" w:cs="楷体"/>
          <w:color w:val="auto"/>
          <w:sz w:val="24"/>
        </w:rPr>
        <w:t>、</w:t>
      </w:r>
      <w:r>
        <w:rPr>
          <w:rFonts w:hint="eastAsia" w:ascii="楷体" w:hAnsi="楷体" w:eastAsia="楷体" w:cs="楷体"/>
          <w:color w:val="auto"/>
          <w:sz w:val="24"/>
        </w:rPr>
        <w:t>P</w:t>
      </w:r>
      <w:r>
        <w:rPr>
          <w:rFonts w:ascii="楷体" w:hAnsi="楷体" w:eastAsia="楷体" w:cs="楷体"/>
          <w:color w:val="auto"/>
          <w:sz w:val="24"/>
        </w:rPr>
        <w:t>1</w:t>
      </w:r>
      <w:r>
        <w:rPr>
          <w:rFonts w:hint="default" w:ascii="楷体" w:hAnsi="楷体" w:eastAsia="楷体" w:cs="楷体"/>
          <w:color w:val="auto"/>
          <w:sz w:val="24"/>
        </w:rPr>
        <w:t>分别</w:t>
      </w:r>
      <w:r>
        <w:rPr>
          <w:rFonts w:ascii="楷体" w:hAnsi="楷体" w:eastAsia="楷体" w:cs="楷体"/>
          <w:color w:val="auto"/>
          <w:sz w:val="24"/>
        </w:rPr>
        <w:t>为触及上阈值、</w:t>
      </w:r>
      <w:r>
        <w:rPr>
          <w:rFonts w:hint="default" w:ascii="楷体" w:hAnsi="楷体" w:eastAsia="楷体" w:cs="楷体"/>
          <w:color w:val="auto"/>
          <w:sz w:val="24"/>
        </w:rPr>
        <w:t>下阈值时的业绩报酬计提比例，</w:t>
      </w:r>
      <w:r>
        <w:rPr>
          <w:rFonts w:hint="eastAsia" w:ascii="楷体" w:hAnsi="楷体" w:eastAsia="楷体" w:cs="楷体"/>
          <w:color w:val="auto"/>
          <w:sz w:val="24"/>
          <w:lang w:eastAsia="zh-CN"/>
        </w:rPr>
        <w:t>本产品当前</w:t>
      </w:r>
      <w:r>
        <w:rPr>
          <w:rFonts w:hint="default" w:ascii="楷体" w:hAnsi="楷体" w:eastAsia="楷体" w:cs="楷体"/>
          <w:color w:val="auto"/>
          <w:sz w:val="24"/>
        </w:rPr>
        <w:t>P</w:t>
      </w:r>
      <w:r>
        <w:rPr>
          <w:rFonts w:ascii="楷体" w:hAnsi="楷体" w:eastAsia="楷体" w:cs="楷体"/>
          <w:color w:val="auto"/>
          <w:sz w:val="24"/>
        </w:rPr>
        <w:t>1</w:t>
      </w:r>
      <w:r>
        <w:rPr>
          <w:rFonts w:hint="default" w:ascii="楷体" w:hAnsi="楷体" w:eastAsia="楷体" w:cs="楷体"/>
          <w:color w:val="auto"/>
          <w:sz w:val="24"/>
        </w:rPr>
        <w:t>设置</w:t>
      </w:r>
      <w:r>
        <w:rPr>
          <w:rFonts w:ascii="楷体" w:hAnsi="楷体" w:eastAsia="楷体" w:cs="楷体"/>
          <w:color w:val="auto"/>
          <w:sz w:val="24"/>
        </w:rPr>
        <w:t>为0%，</w:t>
      </w:r>
      <w:r>
        <w:rPr>
          <w:rFonts w:hint="eastAsia" w:ascii="楷体" w:hAnsi="楷体" w:eastAsia="楷体" w:cs="楷体"/>
          <w:color w:val="auto"/>
          <w:sz w:val="24"/>
        </w:rPr>
        <w:t>P</w:t>
      </w:r>
      <w:r>
        <w:rPr>
          <w:rFonts w:ascii="楷体" w:hAnsi="楷体" w:eastAsia="楷体" w:cs="楷体"/>
          <w:color w:val="auto"/>
          <w:sz w:val="24"/>
        </w:rPr>
        <w:t>2</w:t>
      </w:r>
      <w:r>
        <w:rPr>
          <w:rFonts w:hint="default" w:ascii="楷体" w:hAnsi="楷体" w:eastAsia="楷体" w:cs="楷体"/>
          <w:color w:val="auto"/>
          <w:sz w:val="24"/>
        </w:rPr>
        <w:t>设置</w:t>
      </w:r>
      <w:r>
        <w:rPr>
          <w:rFonts w:ascii="楷体" w:hAnsi="楷体" w:eastAsia="楷体" w:cs="楷体"/>
          <w:color w:val="auto"/>
          <w:sz w:val="24"/>
        </w:rPr>
        <w:t>为100%。</w:t>
      </w:r>
    </w:p>
    <w:p>
      <w:pPr>
        <w:spacing w:line="276" w:lineRule="auto"/>
        <w:ind w:firstLine="437"/>
        <w:rPr>
          <w:rFonts w:ascii="楷体" w:hAnsi="楷体" w:eastAsia="楷体" w:cs="楷体"/>
          <w:color w:val="auto"/>
          <w:sz w:val="24"/>
        </w:rPr>
      </w:pPr>
      <w:r>
        <w:rPr>
          <w:rFonts w:hint="default" w:ascii="楷体" w:hAnsi="楷体" w:eastAsia="楷体" w:cs="楷体"/>
          <w:b w:val="0"/>
          <w:color w:val="auto"/>
          <w:sz w:val="24"/>
        </w:rPr>
        <w:t>管理人可对业绩报酬计提阈值R1、R2及计提比例</w:t>
      </w:r>
      <w:r>
        <w:rPr>
          <w:rFonts w:hint="eastAsia" w:ascii="楷体" w:hAnsi="楷体" w:eastAsia="楷体" w:cs="楷体"/>
          <w:b w:val="0"/>
          <w:color w:val="auto"/>
          <w:sz w:val="24"/>
          <w:lang w:val="en-US" w:eastAsia="zh-CN"/>
        </w:rPr>
        <w:t>P</w:t>
      </w:r>
      <w:r>
        <w:rPr>
          <w:rFonts w:ascii="楷体" w:hAnsi="楷体" w:eastAsia="楷体" w:cs="楷体"/>
          <w:b w:val="0"/>
          <w:color w:val="auto"/>
          <w:sz w:val="24"/>
        </w:rPr>
        <w:t>1</w:t>
      </w:r>
      <w:r>
        <w:rPr>
          <w:rFonts w:hint="default" w:ascii="楷体" w:hAnsi="楷体" w:eastAsia="楷体" w:cs="楷体"/>
          <w:b w:val="0"/>
          <w:color w:val="auto"/>
          <w:sz w:val="24"/>
        </w:rPr>
        <w:t>、</w:t>
      </w:r>
      <w:r>
        <w:rPr>
          <w:rFonts w:hint="eastAsia" w:ascii="楷体" w:hAnsi="楷体" w:eastAsia="楷体" w:cs="楷体"/>
          <w:b w:val="0"/>
          <w:color w:val="auto"/>
          <w:sz w:val="24"/>
          <w:lang w:val="en-US" w:eastAsia="zh-CN"/>
        </w:rPr>
        <w:t>P</w:t>
      </w:r>
      <w:r>
        <w:rPr>
          <w:rFonts w:ascii="楷体" w:hAnsi="楷体" w:eastAsia="楷体" w:cs="楷体"/>
          <w:b w:val="0"/>
          <w:color w:val="auto"/>
          <w:sz w:val="24"/>
        </w:rPr>
        <w:t>2</w:t>
      </w:r>
      <w:r>
        <w:rPr>
          <w:rFonts w:hint="default" w:ascii="楷体" w:hAnsi="楷体" w:eastAsia="楷体" w:cs="楷体"/>
          <w:b w:val="0"/>
          <w:color w:val="auto"/>
          <w:sz w:val="24"/>
        </w:rPr>
        <w:t>进行调整，并提前进行信息披露。</w:t>
      </w:r>
    </w:p>
    <w:p>
      <w:pPr>
        <w:spacing w:line="276" w:lineRule="auto"/>
        <w:ind w:firstLine="437"/>
        <w:rPr>
          <w:rFonts w:ascii="楷体" w:hAnsi="楷体" w:eastAsia="楷体" w:cs="楷体"/>
          <w:color w:val="auto"/>
          <w:sz w:val="24"/>
        </w:rPr>
      </w:pPr>
      <w:r>
        <w:rPr>
          <w:rFonts w:hint="default" w:ascii="楷体" w:hAnsi="楷体" w:eastAsia="楷体" w:cs="楷体"/>
          <w:color w:val="auto"/>
          <w:sz w:val="24"/>
        </w:rPr>
        <w:t>（1</w:t>
      </w:r>
      <w:r>
        <w:rPr>
          <w:rFonts w:ascii="楷体" w:hAnsi="楷体" w:eastAsia="楷体" w:cs="楷体"/>
          <w:color w:val="auto"/>
          <w:sz w:val="24"/>
        </w:rPr>
        <w:t>）计算</w:t>
      </w:r>
      <w:r>
        <w:rPr>
          <w:rFonts w:hint="eastAsia" w:ascii="楷体" w:hAnsi="楷体" w:eastAsia="楷体" w:cs="楷体"/>
          <w:color w:val="auto"/>
          <w:sz w:val="24"/>
          <w:lang w:val="en-US" w:eastAsia="zh-CN"/>
        </w:rPr>
        <w:t>单个投资周期</w:t>
      </w:r>
      <w:r>
        <w:rPr>
          <w:rFonts w:hint="default" w:ascii="楷体" w:hAnsi="楷体" w:eastAsia="楷体" w:cs="楷体"/>
          <w:color w:val="auto"/>
          <w:sz w:val="24"/>
        </w:rPr>
        <w:t>业绩报酬计提金额：</w:t>
      </w:r>
    </w:p>
    <w:p>
      <w:pPr>
        <w:spacing w:line="276" w:lineRule="auto"/>
        <w:ind w:firstLine="437"/>
        <w:rPr>
          <w:rFonts w:ascii="楷体" w:hAnsi="楷体" w:eastAsia="楷体" w:cs="楷体"/>
          <w:color w:val="auto"/>
          <w:sz w:val="24"/>
        </w:rPr>
      </w:pPr>
      <w:r>
        <w:rPr>
          <w:rFonts w:hint="default" w:ascii="楷体" w:hAnsi="楷体" w:eastAsia="楷体" w:cs="楷体"/>
          <w:color w:val="auto"/>
          <w:sz w:val="24"/>
        </w:rPr>
        <w:t>①当</w:t>
      </w:r>
      <w:r>
        <w:rPr>
          <w:rFonts w:hint="eastAsia" w:ascii="楷体" w:hAnsi="楷体" w:eastAsia="楷体" w:cs="楷体"/>
          <w:color w:val="auto"/>
          <w:sz w:val="24"/>
          <w:lang w:val="en-US" w:eastAsia="zh-CN"/>
        </w:rPr>
        <w:t>r</w:t>
      </w:r>
      <w:r>
        <w:rPr>
          <w:rFonts w:hint="default" w:ascii="楷体" w:hAnsi="楷体" w:eastAsia="楷体" w:cs="楷体"/>
          <w:color w:val="auto"/>
          <w:sz w:val="24"/>
        </w:rPr>
        <w:t>&gt;</w:t>
      </w:r>
      <w:r>
        <w:rPr>
          <w:rFonts w:ascii="楷体" w:hAnsi="楷体" w:eastAsia="楷体" w:cs="楷体"/>
          <w:color w:val="auto"/>
          <w:sz w:val="24"/>
        </w:rPr>
        <w:t>=</w:t>
      </w:r>
      <w:r>
        <w:rPr>
          <w:rFonts w:hint="eastAsia" w:ascii="楷体" w:hAnsi="楷体" w:eastAsia="楷体" w:cs="楷体"/>
          <w:color w:val="auto"/>
          <w:sz w:val="24"/>
          <w:lang w:val="en-US" w:eastAsia="zh-CN"/>
        </w:rPr>
        <w:t>R</w:t>
      </w:r>
      <w:r>
        <w:rPr>
          <w:rFonts w:ascii="楷体" w:hAnsi="楷体" w:eastAsia="楷体" w:cs="楷体"/>
          <w:color w:val="auto"/>
          <w:sz w:val="24"/>
        </w:rPr>
        <w:t>2</w:t>
      </w:r>
      <w:r>
        <w:rPr>
          <w:rFonts w:hint="default" w:ascii="楷体" w:hAnsi="楷体" w:eastAsia="楷体" w:cs="楷体"/>
          <w:color w:val="auto"/>
          <w:sz w:val="24"/>
        </w:rPr>
        <w:t>时：</w:t>
      </w:r>
    </w:p>
    <w:p>
      <w:pPr>
        <w:spacing w:line="276" w:lineRule="auto"/>
        <w:ind w:firstLine="437"/>
        <w:rPr>
          <w:rFonts w:ascii="楷体" w:hAnsi="楷体" w:eastAsia="楷体" w:cs="楷体"/>
          <w:color w:val="auto"/>
          <w:sz w:val="24"/>
        </w:rPr>
      </w:pPr>
      <w:r>
        <w:rPr>
          <w:rFonts w:hint="default" w:ascii="楷体" w:hAnsi="楷体" w:eastAsia="楷体" w:cs="楷体"/>
          <w:color w:val="auto"/>
          <w:sz w:val="24"/>
        </w:rPr>
        <w:t>计提业绩报酬金额=（</w:t>
      </w:r>
      <w:r>
        <w:rPr>
          <w:rFonts w:hint="eastAsia" w:ascii="楷体" w:hAnsi="楷体" w:eastAsia="楷体" w:cs="楷体"/>
          <w:color w:val="auto"/>
          <w:sz w:val="24"/>
          <w:lang w:val="en-US" w:eastAsia="zh-CN"/>
        </w:rPr>
        <w:t>r</w:t>
      </w:r>
      <w:r>
        <w:rPr>
          <w:rFonts w:hint="default" w:ascii="楷体" w:hAnsi="楷体" w:eastAsia="楷体" w:cs="楷体"/>
          <w:color w:val="auto"/>
          <w:sz w:val="24"/>
        </w:rPr>
        <w:t>-</w:t>
      </w:r>
      <w:r>
        <w:rPr>
          <w:rFonts w:hint="eastAsia" w:ascii="楷体" w:hAnsi="楷体" w:eastAsia="楷体" w:cs="楷体"/>
          <w:color w:val="auto"/>
          <w:sz w:val="24"/>
          <w:lang w:val="en-US" w:eastAsia="zh-CN"/>
        </w:rPr>
        <w:t>R</w:t>
      </w:r>
      <w:r>
        <w:rPr>
          <w:rFonts w:ascii="楷体" w:hAnsi="楷体" w:eastAsia="楷体" w:cs="楷体"/>
          <w:color w:val="auto"/>
          <w:sz w:val="24"/>
        </w:rPr>
        <w:t>2</w:t>
      </w:r>
      <w:r>
        <w:rPr>
          <w:rFonts w:hint="default" w:ascii="楷体" w:hAnsi="楷体" w:eastAsia="楷体" w:cs="楷体"/>
          <w:color w:val="auto"/>
          <w:sz w:val="24"/>
        </w:rPr>
        <w:t>）</w:t>
      </w:r>
      <w:r>
        <w:rPr>
          <w:rFonts w:hint="eastAsia" w:ascii="楷体" w:hAnsi="楷体" w:eastAsia="楷体" w:cs="楷体"/>
          <w:color w:val="auto"/>
          <w:sz w:val="24"/>
        </w:rPr>
        <w:t>/365</w:t>
      </w:r>
      <w:r>
        <w:rPr>
          <w:rFonts w:hint="default" w:ascii="楷体" w:hAnsi="楷体" w:eastAsia="楷体" w:cs="楷体"/>
          <w:color w:val="auto"/>
          <w:sz w:val="24"/>
        </w:rPr>
        <w:t>×</w:t>
      </w:r>
      <w:r>
        <w:rPr>
          <w:rFonts w:hint="eastAsia" w:ascii="楷体" w:hAnsi="楷体" w:eastAsia="楷体" w:cs="楷体"/>
          <w:color w:val="auto"/>
          <w:sz w:val="24"/>
          <w:lang w:val="en-US" w:eastAsia="zh-CN"/>
        </w:rPr>
        <w:t>本投资周期期末产品总份额</w:t>
      </w:r>
      <w:r>
        <w:rPr>
          <w:rFonts w:hint="default" w:ascii="楷体" w:hAnsi="楷体" w:eastAsia="楷体" w:cs="楷体"/>
          <w:color w:val="auto"/>
          <w:sz w:val="24"/>
        </w:rPr>
        <w:t>×</w:t>
      </w:r>
      <w:r>
        <w:rPr>
          <w:rFonts w:hint="eastAsia" w:ascii="楷体" w:hAnsi="楷体" w:eastAsia="楷体" w:cs="楷体"/>
          <w:color w:val="auto"/>
          <w:sz w:val="24"/>
          <w:lang w:val="en-US" w:eastAsia="zh-CN"/>
        </w:rPr>
        <w:t>本投资周期天数</w:t>
      </w:r>
      <w:r>
        <w:rPr>
          <w:rFonts w:hint="default" w:ascii="楷体" w:hAnsi="楷体" w:eastAsia="楷体" w:cs="楷体"/>
          <w:color w:val="auto"/>
          <w:sz w:val="24"/>
        </w:rPr>
        <w:t>×</w:t>
      </w:r>
      <w:r>
        <w:rPr>
          <w:rFonts w:hint="eastAsia" w:ascii="楷体" w:hAnsi="楷体" w:eastAsia="楷体" w:cs="楷体"/>
          <w:color w:val="auto"/>
          <w:sz w:val="24"/>
          <w:lang w:val="en-US" w:eastAsia="zh-CN"/>
        </w:rPr>
        <w:t>P</w:t>
      </w:r>
      <w:r>
        <w:rPr>
          <w:rFonts w:ascii="楷体" w:hAnsi="楷体" w:eastAsia="楷体" w:cs="楷体"/>
          <w:color w:val="auto"/>
          <w:sz w:val="24"/>
        </w:rPr>
        <w:t>2</w:t>
      </w:r>
      <w:r>
        <w:rPr>
          <w:rFonts w:hint="default" w:ascii="楷体" w:hAnsi="楷体" w:eastAsia="楷体" w:cs="楷体"/>
          <w:color w:val="auto"/>
          <w:sz w:val="24"/>
        </w:rPr>
        <w:t>。</w:t>
      </w:r>
    </w:p>
    <w:p>
      <w:pPr>
        <w:spacing w:line="276" w:lineRule="auto"/>
        <w:ind w:firstLine="437"/>
        <w:rPr>
          <w:rFonts w:ascii="楷体" w:hAnsi="楷体" w:eastAsia="楷体" w:cs="楷体"/>
          <w:color w:val="auto"/>
          <w:sz w:val="24"/>
        </w:rPr>
      </w:pPr>
      <w:r>
        <w:rPr>
          <w:rFonts w:hint="default" w:ascii="楷体" w:hAnsi="楷体" w:eastAsia="楷体" w:cs="楷体"/>
          <w:color w:val="auto"/>
          <w:sz w:val="24"/>
        </w:rPr>
        <w:t>②当</w:t>
      </w:r>
      <w:r>
        <w:rPr>
          <w:rFonts w:hint="eastAsia" w:ascii="楷体" w:hAnsi="楷体" w:eastAsia="楷体" w:cs="楷体"/>
          <w:color w:val="auto"/>
          <w:sz w:val="24"/>
          <w:lang w:val="en-US" w:eastAsia="zh-CN"/>
        </w:rPr>
        <w:t>R</w:t>
      </w:r>
      <w:r>
        <w:rPr>
          <w:rFonts w:ascii="楷体" w:hAnsi="楷体" w:eastAsia="楷体" w:cs="楷体"/>
          <w:color w:val="auto"/>
          <w:sz w:val="24"/>
        </w:rPr>
        <w:t>1&lt;=</w:t>
      </w:r>
      <w:r>
        <w:rPr>
          <w:rFonts w:hint="eastAsia" w:ascii="楷体" w:hAnsi="楷体" w:eastAsia="楷体" w:cs="楷体"/>
          <w:color w:val="auto"/>
          <w:sz w:val="24"/>
          <w:lang w:val="en-US" w:eastAsia="zh-CN"/>
        </w:rPr>
        <w:t>r</w:t>
      </w:r>
      <w:r>
        <w:rPr>
          <w:rFonts w:ascii="楷体" w:hAnsi="楷体" w:eastAsia="楷体" w:cs="楷体"/>
          <w:color w:val="auto"/>
          <w:sz w:val="24"/>
        </w:rPr>
        <w:t>&lt;</w:t>
      </w:r>
      <w:r>
        <w:rPr>
          <w:rFonts w:hint="eastAsia" w:ascii="楷体" w:hAnsi="楷体" w:eastAsia="楷体" w:cs="楷体"/>
          <w:color w:val="auto"/>
          <w:sz w:val="24"/>
          <w:lang w:val="en-US" w:eastAsia="zh-CN"/>
        </w:rPr>
        <w:t>R</w:t>
      </w:r>
      <w:r>
        <w:rPr>
          <w:rFonts w:ascii="楷体" w:hAnsi="楷体" w:eastAsia="楷体" w:cs="楷体"/>
          <w:color w:val="auto"/>
          <w:sz w:val="24"/>
        </w:rPr>
        <w:t>2</w:t>
      </w:r>
      <w:r>
        <w:rPr>
          <w:rFonts w:hint="default" w:ascii="楷体" w:hAnsi="楷体" w:eastAsia="楷体" w:cs="楷体"/>
          <w:color w:val="auto"/>
          <w:sz w:val="24"/>
        </w:rPr>
        <w:t>时：</w:t>
      </w:r>
    </w:p>
    <w:p>
      <w:pPr>
        <w:spacing w:line="276" w:lineRule="auto"/>
        <w:ind w:firstLine="437"/>
        <w:rPr>
          <w:rFonts w:hint="default" w:ascii="楷体" w:hAnsi="楷体" w:eastAsia="楷体" w:cs="楷体"/>
          <w:color w:val="auto"/>
          <w:sz w:val="24"/>
        </w:rPr>
      </w:pPr>
      <w:r>
        <w:rPr>
          <w:rFonts w:hint="default" w:ascii="楷体" w:hAnsi="楷体" w:eastAsia="楷体" w:cs="楷体"/>
          <w:color w:val="auto"/>
          <w:sz w:val="24"/>
        </w:rPr>
        <w:t>计提业绩报酬金额=（</w:t>
      </w:r>
      <w:r>
        <w:rPr>
          <w:rFonts w:hint="eastAsia" w:ascii="楷体" w:hAnsi="楷体" w:eastAsia="楷体" w:cs="楷体"/>
          <w:color w:val="auto"/>
          <w:sz w:val="24"/>
          <w:lang w:val="en-US" w:eastAsia="zh-CN"/>
        </w:rPr>
        <w:t>r</w:t>
      </w:r>
      <w:r>
        <w:rPr>
          <w:rFonts w:hint="default" w:ascii="楷体" w:hAnsi="楷体" w:eastAsia="楷体" w:cs="楷体"/>
          <w:color w:val="auto"/>
          <w:sz w:val="24"/>
        </w:rPr>
        <w:t>-</w:t>
      </w:r>
      <w:r>
        <w:rPr>
          <w:rFonts w:hint="eastAsia" w:ascii="楷体" w:hAnsi="楷体" w:eastAsia="楷体" w:cs="楷体"/>
          <w:color w:val="auto"/>
          <w:sz w:val="24"/>
          <w:lang w:val="en-US" w:eastAsia="zh-CN"/>
        </w:rPr>
        <w:t>R</w:t>
      </w:r>
      <w:r>
        <w:rPr>
          <w:rFonts w:ascii="楷体" w:hAnsi="楷体" w:eastAsia="楷体" w:cs="楷体"/>
          <w:color w:val="auto"/>
          <w:sz w:val="24"/>
        </w:rPr>
        <w:t>1</w:t>
      </w:r>
      <w:r>
        <w:rPr>
          <w:rFonts w:hint="default" w:ascii="楷体" w:hAnsi="楷体" w:eastAsia="楷体" w:cs="楷体"/>
          <w:color w:val="auto"/>
          <w:sz w:val="24"/>
        </w:rPr>
        <w:t>）</w:t>
      </w:r>
      <w:r>
        <w:rPr>
          <w:rFonts w:hint="eastAsia" w:ascii="楷体" w:hAnsi="楷体" w:eastAsia="楷体" w:cs="楷体"/>
          <w:color w:val="auto"/>
          <w:sz w:val="24"/>
        </w:rPr>
        <w:t>/365</w:t>
      </w:r>
      <w:r>
        <w:rPr>
          <w:rFonts w:hint="default" w:ascii="楷体" w:hAnsi="楷体" w:eastAsia="楷体" w:cs="楷体"/>
          <w:color w:val="auto"/>
          <w:sz w:val="24"/>
        </w:rPr>
        <w:t>×</w:t>
      </w:r>
      <w:r>
        <w:rPr>
          <w:rFonts w:hint="eastAsia" w:ascii="楷体" w:hAnsi="楷体" w:eastAsia="楷体" w:cs="楷体"/>
          <w:color w:val="auto"/>
          <w:sz w:val="24"/>
          <w:lang w:val="en-US" w:eastAsia="zh-CN"/>
        </w:rPr>
        <w:t>本投资周期期末产品总份额</w:t>
      </w:r>
      <w:r>
        <w:rPr>
          <w:rFonts w:hint="default" w:ascii="楷体" w:hAnsi="楷体" w:eastAsia="楷体" w:cs="楷体"/>
          <w:color w:val="auto"/>
          <w:sz w:val="24"/>
        </w:rPr>
        <w:t>×</w:t>
      </w:r>
      <w:r>
        <w:rPr>
          <w:rFonts w:hint="eastAsia" w:ascii="楷体" w:hAnsi="楷体" w:eastAsia="楷体" w:cs="楷体"/>
          <w:color w:val="auto"/>
          <w:sz w:val="24"/>
          <w:lang w:val="en-US" w:eastAsia="zh-CN"/>
        </w:rPr>
        <w:t>本投资周期天数</w:t>
      </w:r>
      <w:r>
        <w:rPr>
          <w:rFonts w:hint="default" w:ascii="楷体" w:hAnsi="楷体" w:eastAsia="楷体" w:cs="楷体"/>
          <w:color w:val="auto"/>
          <w:sz w:val="24"/>
        </w:rPr>
        <w:t>×</w:t>
      </w:r>
      <w:r>
        <w:rPr>
          <w:rFonts w:hint="eastAsia" w:ascii="楷体" w:hAnsi="楷体" w:eastAsia="楷体" w:cs="楷体"/>
          <w:color w:val="auto"/>
          <w:sz w:val="24"/>
          <w:lang w:val="en-US" w:eastAsia="zh-CN"/>
        </w:rPr>
        <w:t>P</w:t>
      </w:r>
      <w:r>
        <w:rPr>
          <w:rFonts w:ascii="楷体" w:hAnsi="楷体" w:eastAsia="楷体" w:cs="楷体"/>
          <w:color w:val="auto"/>
          <w:sz w:val="24"/>
        </w:rPr>
        <w:t>1</w:t>
      </w:r>
      <w:r>
        <w:rPr>
          <w:rFonts w:hint="default" w:ascii="楷体" w:hAnsi="楷体" w:eastAsia="楷体" w:cs="楷体"/>
          <w:color w:val="auto"/>
          <w:sz w:val="24"/>
        </w:rPr>
        <w:t>。</w:t>
      </w:r>
    </w:p>
    <w:p>
      <w:pPr>
        <w:spacing w:line="276" w:lineRule="auto"/>
        <w:ind w:firstLine="437"/>
        <w:rPr>
          <w:rFonts w:ascii="楷体" w:hAnsi="楷体" w:eastAsia="楷体" w:cs="楷体"/>
          <w:color w:val="auto"/>
          <w:sz w:val="24"/>
        </w:rPr>
      </w:pPr>
      <w:r>
        <w:rPr>
          <w:rFonts w:hint="default" w:ascii="楷体" w:hAnsi="楷体" w:eastAsia="楷体" w:cs="楷体"/>
          <w:color w:val="auto"/>
          <w:sz w:val="24"/>
        </w:rPr>
        <w:t>③当</w:t>
      </w:r>
      <w:r>
        <w:rPr>
          <w:rFonts w:hint="eastAsia" w:ascii="楷体" w:hAnsi="楷体" w:eastAsia="楷体" w:cs="楷体"/>
          <w:color w:val="auto"/>
          <w:sz w:val="24"/>
          <w:lang w:val="en-US" w:eastAsia="zh-CN"/>
        </w:rPr>
        <w:t>r</w:t>
      </w:r>
      <w:r>
        <w:rPr>
          <w:rFonts w:hint="default" w:ascii="楷体" w:hAnsi="楷体" w:eastAsia="楷体" w:cs="楷体"/>
          <w:color w:val="auto"/>
          <w:sz w:val="24"/>
        </w:rPr>
        <w:t>&lt;</w:t>
      </w:r>
      <w:r>
        <w:rPr>
          <w:rFonts w:hint="eastAsia" w:ascii="楷体" w:hAnsi="楷体" w:eastAsia="楷体" w:cs="楷体"/>
          <w:color w:val="auto"/>
          <w:sz w:val="24"/>
          <w:lang w:val="en-US" w:eastAsia="zh-CN"/>
        </w:rPr>
        <w:t>R</w:t>
      </w:r>
      <w:r>
        <w:rPr>
          <w:rFonts w:ascii="楷体" w:hAnsi="楷体" w:eastAsia="楷体" w:cs="楷体"/>
          <w:color w:val="auto"/>
          <w:sz w:val="24"/>
        </w:rPr>
        <w:t>1</w:t>
      </w:r>
      <w:r>
        <w:rPr>
          <w:rFonts w:hint="default" w:ascii="楷体" w:hAnsi="楷体" w:eastAsia="楷体" w:cs="楷体"/>
          <w:color w:val="auto"/>
          <w:sz w:val="24"/>
        </w:rPr>
        <w:t>时：</w:t>
      </w:r>
    </w:p>
    <w:p>
      <w:pPr>
        <w:spacing w:line="276" w:lineRule="auto"/>
        <w:ind w:left="479" w:leftChars="228" w:firstLine="19" w:firstLineChars="8"/>
        <w:rPr>
          <w:rFonts w:ascii="楷体" w:hAnsi="楷体" w:eastAsia="楷体" w:cs="楷体"/>
          <w:color w:val="auto"/>
          <w:sz w:val="24"/>
        </w:rPr>
      </w:pPr>
      <w:r>
        <w:rPr>
          <w:rFonts w:hint="default" w:ascii="楷体" w:hAnsi="楷体" w:eastAsia="楷体" w:cs="楷体"/>
          <w:color w:val="auto"/>
          <w:sz w:val="24"/>
        </w:rPr>
        <w:t>冲减业绩报酬账面余额=（</w:t>
      </w:r>
      <w:r>
        <w:rPr>
          <w:rFonts w:hint="eastAsia" w:ascii="楷体" w:hAnsi="楷体" w:eastAsia="楷体" w:cs="楷体"/>
          <w:color w:val="auto"/>
          <w:sz w:val="24"/>
          <w:lang w:val="en-US" w:eastAsia="zh-CN"/>
        </w:rPr>
        <w:t>R</w:t>
      </w:r>
      <w:r>
        <w:rPr>
          <w:rFonts w:ascii="楷体" w:hAnsi="楷体" w:eastAsia="楷体" w:cs="楷体"/>
          <w:color w:val="auto"/>
          <w:sz w:val="24"/>
        </w:rPr>
        <w:t>1</w:t>
      </w:r>
      <w:r>
        <w:rPr>
          <w:rFonts w:hint="default" w:ascii="楷体" w:hAnsi="楷体" w:eastAsia="楷体" w:cs="楷体"/>
          <w:color w:val="auto"/>
          <w:sz w:val="24"/>
        </w:rPr>
        <w:t>-</w:t>
      </w:r>
      <w:r>
        <w:rPr>
          <w:rFonts w:hint="eastAsia" w:ascii="楷体" w:hAnsi="楷体" w:eastAsia="楷体" w:cs="楷体"/>
          <w:color w:val="auto"/>
          <w:sz w:val="24"/>
          <w:lang w:val="en-US" w:eastAsia="zh-CN"/>
        </w:rPr>
        <w:t>r</w:t>
      </w:r>
      <w:r>
        <w:rPr>
          <w:rFonts w:hint="default" w:ascii="楷体" w:hAnsi="楷体" w:eastAsia="楷体" w:cs="楷体"/>
          <w:color w:val="auto"/>
          <w:sz w:val="24"/>
        </w:rPr>
        <w:t>）</w:t>
      </w:r>
      <w:r>
        <w:rPr>
          <w:rFonts w:hint="eastAsia" w:ascii="楷体" w:hAnsi="楷体" w:eastAsia="楷体" w:cs="楷体"/>
          <w:color w:val="auto"/>
          <w:sz w:val="24"/>
        </w:rPr>
        <w:t>/365</w:t>
      </w:r>
      <w:r>
        <w:rPr>
          <w:rFonts w:hint="default" w:ascii="楷体" w:hAnsi="楷体" w:eastAsia="楷体" w:cs="楷体"/>
          <w:color w:val="auto"/>
          <w:sz w:val="24"/>
        </w:rPr>
        <w:t>×</w:t>
      </w:r>
      <w:r>
        <w:rPr>
          <w:rFonts w:hint="eastAsia" w:ascii="楷体" w:hAnsi="楷体" w:eastAsia="楷体" w:cs="楷体"/>
          <w:color w:val="auto"/>
          <w:sz w:val="24"/>
          <w:lang w:val="en-US" w:eastAsia="zh-CN"/>
        </w:rPr>
        <w:t>本投资周期期末产品总份额</w:t>
      </w:r>
      <w:r>
        <w:rPr>
          <w:rFonts w:hint="default" w:ascii="楷体" w:hAnsi="楷体" w:eastAsia="楷体" w:cs="楷体"/>
          <w:color w:val="auto"/>
          <w:sz w:val="24"/>
        </w:rPr>
        <w:t>×</w:t>
      </w:r>
      <w:r>
        <w:rPr>
          <w:rFonts w:hint="eastAsia" w:ascii="楷体" w:hAnsi="楷体" w:eastAsia="楷体" w:cs="楷体"/>
          <w:color w:val="auto"/>
          <w:sz w:val="24"/>
          <w:lang w:val="en-US" w:eastAsia="zh-CN"/>
        </w:rPr>
        <w:t>本投资周期天数</w:t>
      </w:r>
      <w:r>
        <w:rPr>
          <w:rFonts w:hint="default" w:ascii="楷体" w:hAnsi="楷体" w:eastAsia="楷体" w:cs="楷体"/>
          <w:color w:val="auto"/>
          <w:sz w:val="24"/>
        </w:rPr>
        <w:t>，但以已计提未支付业绩报酬账面余额为限。</w:t>
      </w:r>
    </w:p>
    <w:p>
      <w:pPr>
        <w:spacing w:line="276" w:lineRule="auto"/>
        <w:ind w:firstLine="437" w:firstLineChars="0"/>
        <w:jc w:val="left"/>
        <w:rPr>
          <w:rFonts w:hint="eastAsia" w:ascii="楷体" w:hAnsi="楷体" w:eastAsia="楷体" w:cs="楷体"/>
          <w:color w:val="auto"/>
          <w:sz w:val="24"/>
          <w:szCs w:val="24"/>
          <w:lang w:val="en-US"/>
        </w:rPr>
      </w:pPr>
      <w:r>
        <w:rPr>
          <w:rFonts w:hint="default" w:ascii="楷体" w:hAnsi="楷体" w:eastAsia="楷体" w:cs="楷体"/>
          <w:b w:val="0"/>
          <w:color w:val="auto"/>
          <w:sz w:val="24"/>
          <w:szCs w:val="24"/>
        </w:rPr>
        <w:t>本产品为净值型产品，业绩表现将随市场波动，具有不确定性。业绩报酬计提基准仅为计提业绩报酬的依据，不构成</w:t>
      </w:r>
      <w:r>
        <w:rPr>
          <w:rFonts w:hint="default" w:ascii="楷体" w:hAnsi="楷体" w:eastAsia="楷体" w:cs="楷体"/>
          <w:b w:val="0"/>
          <w:color w:val="auto"/>
          <w:sz w:val="24"/>
          <w:szCs w:val="24"/>
          <w:lang w:val="en-US" w:eastAsia="zh-CN"/>
        </w:rPr>
        <w:t>张家港</w:t>
      </w:r>
      <w:r>
        <w:rPr>
          <w:rFonts w:hint="default" w:ascii="楷体" w:hAnsi="楷体" w:eastAsia="楷体" w:cs="楷体"/>
          <w:b w:val="0"/>
          <w:color w:val="auto"/>
          <w:sz w:val="24"/>
          <w:szCs w:val="24"/>
        </w:rPr>
        <w:t>农商银行对本理财产品的任何收益承诺。</w:t>
      </w:r>
    </w:p>
    <w:p>
      <w:pPr>
        <w:numPr>
          <w:ilvl w:val="-1"/>
          <w:numId w:val="0"/>
        </w:numPr>
        <w:spacing w:line="360" w:lineRule="exact"/>
        <w:ind w:firstLine="480" w:firstLineChars="200"/>
        <w:jc w:val="both"/>
        <w:rPr>
          <w:rFonts w:hint="eastAsia" w:ascii="楷体" w:hAnsi="楷体" w:eastAsia="楷体" w:cs="楷体"/>
          <w:color w:val="FF0000"/>
          <w:sz w:val="24"/>
        </w:rPr>
      </w:pPr>
      <w:r>
        <w:rPr>
          <w:rFonts w:hint="eastAsia" w:ascii="楷体" w:hAnsi="楷体" w:eastAsia="楷体" w:cs="楷体"/>
          <w:color w:val="auto"/>
          <w:sz w:val="24"/>
          <w:szCs w:val="24"/>
          <w:lang w:val="en-US" w:eastAsia="zh-CN"/>
        </w:rPr>
        <w:t>7.</w:t>
      </w:r>
      <w:r>
        <w:rPr>
          <w:rFonts w:hint="eastAsia" w:ascii="楷体" w:hAnsi="楷体" w:eastAsia="楷体" w:cs="楷体"/>
          <w:color w:val="auto"/>
          <w:sz w:val="24"/>
        </w:rPr>
        <w:t>其他费用：产品运作和清算中产品的其他资金汇划费、结算费、交易手续费、注册登记费、信息披露费、账户服务费、审计费、律师费、投后管理费、项目推荐费、财务顾问费和本理财产品说明书约定的其他应由理财产品承担的费用等，按照实际发生时从理财产品中列支。</w:t>
      </w:r>
    </w:p>
    <w:p>
      <w:pPr>
        <w:autoSpaceDE w:val="0"/>
        <w:autoSpaceDN w:val="0"/>
        <w:adjustRightInd w:val="0"/>
        <w:spacing w:line="360" w:lineRule="exact"/>
        <w:ind w:firstLine="482" w:firstLineChars="201"/>
        <w:jc w:val="both"/>
        <w:rPr>
          <w:rFonts w:hint="eastAsia" w:ascii="楷体" w:hAnsi="楷体" w:eastAsia="楷体" w:cs="楷体"/>
          <w:sz w:val="24"/>
        </w:rPr>
      </w:pPr>
      <w:r>
        <w:rPr>
          <w:rFonts w:hint="eastAsia" w:ascii="楷体" w:hAnsi="楷体" w:eastAsia="楷体" w:cs="楷体"/>
          <w:sz w:val="24"/>
        </w:rPr>
        <w:t>（二）税收</w:t>
      </w:r>
    </w:p>
    <w:p>
      <w:pPr>
        <w:autoSpaceDE w:val="0"/>
        <w:autoSpaceDN w:val="0"/>
        <w:adjustRightInd w:val="0"/>
        <w:spacing w:line="360" w:lineRule="exact"/>
        <w:ind w:firstLine="482" w:firstLineChars="201"/>
        <w:jc w:val="both"/>
        <w:rPr>
          <w:rFonts w:hint="eastAsia" w:ascii="楷体" w:hAnsi="楷体" w:eastAsia="楷体" w:cs="楷体"/>
          <w:sz w:val="24"/>
        </w:rPr>
      </w:pPr>
      <w:r>
        <w:rPr>
          <w:rFonts w:hint="eastAsia" w:ascii="楷体" w:hAnsi="楷体" w:eastAsia="楷体" w:cs="楷体"/>
          <w:sz w:val="24"/>
        </w:rPr>
        <w:t>本产品运作过程中涉及的各纳税主体，其纳税义务按国家税收法律、法规执行。根据财政部、国家税务总局相关税收监管政策的规定，理财产品运营过程中发生的增值税应税行为，以理财产品管理人为增值税纳税人，计算、申报并缴纳增值税及附加税费（包括但不限于城市维护建设税、教育费附加及地方教育附加等）。张家港农村商行银行作为理财产品管理人,将按照相关规定计算应缴纳的税费，并从理财产品财产中支付，由此可能会使理财产品净值或实际收益降低，请投资者知悉。</w:t>
      </w:r>
    </w:p>
    <w:p>
      <w:pPr>
        <w:autoSpaceDE w:val="0"/>
        <w:autoSpaceDN w:val="0"/>
        <w:adjustRightInd w:val="0"/>
        <w:spacing w:line="360" w:lineRule="exact"/>
        <w:ind w:firstLine="482" w:firstLineChars="201"/>
        <w:jc w:val="both"/>
        <w:rPr>
          <w:rFonts w:hint="eastAsia" w:ascii="楷体" w:hAnsi="楷体" w:eastAsia="楷体" w:cs="楷体"/>
          <w:sz w:val="24"/>
        </w:rPr>
      </w:pPr>
      <w:r>
        <w:rPr>
          <w:rFonts w:hint="eastAsia" w:ascii="楷体" w:hAnsi="楷体" w:eastAsia="楷体" w:cs="楷体"/>
          <w:sz w:val="24"/>
        </w:rPr>
        <w:t>投资者从理财产品取得的收益应缴纳的税款，由投资者自行申报及缴纳。</w:t>
      </w:r>
    </w:p>
    <w:p>
      <w:pPr>
        <w:numPr>
          <w:ilvl w:val="-1"/>
          <w:numId w:val="0"/>
        </w:numPr>
        <w:autoSpaceDE w:val="0"/>
        <w:autoSpaceDN w:val="0"/>
        <w:adjustRightInd w:val="0"/>
        <w:spacing w:line="360" w:lineRule="exact"/>
        <w:ind w:firstLine="482" w:firstLineChars="201"/>
        <w:jc w:val="both"/>
        <w:rPr>
          <w:rFonts w:hint="eastAsia" w:ascii="楷体" w:hAnsi="楷体" w:eastAsia="楷体" w:cs="楷体"/>
          <w:sz w:val="24"/>
          <w:lang w:val="en-US" w:eastAsia="zh-CN"/>
        </w:rPr>
      </w:pPr>
      <w:r>
        <w:rPr>
          <w:rFonts w:hint="eastAsia" w:ascii="楷体" w:hAnsi="楷体" w:eastAsia="楷体" w:cs="楷体"/>
          <w:sz w:val="24"/>
        </w:rPr>
        <w:t>后续国家法律法规如对相关税收政策进行调整，产品管理人有权根据税收政策相应调整理理财产品运营过程中发生的税费的承担方式。若相关税收法规规定产品管理人应代扣代缴相关税款，产品管理人有权依法履行代扣代缴义务，投资者对此应给予配合。</w:t>
      </w:r>
    </w:p>
    <w:p>
      <w:pPr>
        <w:numPr>
          <w:ilvl w:val="-1"/>
          <w:numId w:val="0"/>
        </w:numPr>
        <w:spacing w:line="360" w:lineRule="exact"/>
        <w:ind w:firstLine="0" w:firstLineChars="0"/>
        <w:rPr>
          <w:rFonts w:hint="eastAsia" w:ascii="楷体" w:hAnsi="楷体" w:eastAsia="楷体" w:cs="楷体"/>
          <w:b/>
          <w:bCs/>
          <w:color w:val="000000"/>
          <w:sz w:val="30"/>
          <w:szCs w:val="30"/>
          <w:lang w:val="en-US"/>
        </w:rPr>
      </w:pPr>
    </w:p>
    <w:p>
      <w:pPr>
        <w:numPr>
          <w:ilvl w:val="0"/>
          <w:numId w:val="0"/>
        </w:numPr>
        <w:spacing w:line="360" w:lineRule="exact"/>
        <w:ind w:firstLine="605" w:firstLineChars="201"/>
        <w:rPr>
          <w:rFonts w:hint="eastAsia" w:ascii="楷体" w:hAnsi="楷体" w:eastAsia="楷体" w:cs="楷体"/>
          <w:b/>
          <w:bCs/>
          <w:color w:val="000000"/>
          <w:sz w:val="30"/>
          <w:szCs w:val="30"/>
          <w:lang w:val="en-US"/>
        </w:rPr>
      </w:pPr>
      <w:r>
        <w:rPr>
          <w:rFonts w:hint="eastAsia" w:ascii="楷体" w:hAnsi="楷体" w:eastAsia="楷体" w:cs="楷体"/>
          <w:b/>
          <w:bCs/>
          <w:color w:val="000000"/>
          <w:sz w:val="30"/>
          <w:szCs w:val="30"/>
          <w:lang w:val="en-US" w:eastAsia="zh-CN"/>
        </w:rPr>
        <w:t>七</w:t>
      </w:r>
      <w:r>
        <w:rPr>
          <w:rFonts w:hint="eastAsia" w:ascii="楷体" w:hAnsi="楷体" w:eastAsia="楷体" w:cs="楷体"/>
          <w:b/>
          <w:bCs/>
          <w:color w:val="000000"/>
          <w:sz w:val="30"/>
          <w:szCs w:val="30"/>
          <w:lang w:val="en-US"/>
        </w:rPr>
        <w:t>、理财收益的测算方法及测算示例</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（一）测算方法</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申购份额=申购确认金额/本投资周期期初产品单位份额净值（申购份额保留两位小数）</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highlight w:val="none"/>
          <w:lang w:val="en-US"/>
        </w:rPr>
        <w:t>赎回金额=赎回确认份额*本投资周期期末产品单位份额净值</w:t>
      </w:r>
      <w:r>
        <w:rPr>
          <w:rFonts w:hint="eastAsia" w:ascii="楷体" w:hAnsi="楷体" w:eastAsia="楷体" w:cs="楷体"/>
          <w:color w:val="000000"/>
          <w:sz w:val="24"/>
          <w:szCs w:val="24"/>
          <w:highlight w:val="none"/>
          <w:lang w:val="en-US" w:eastAsia="zh-CN"/>
        </w:rPr>
        <w:t>（单位份额净值已扣除相关税费，</w:t>
      </w:r>
      <w:r>
        <w:rPr>
          <w:rFonts w:hint="eastAsia" w:ascii="楷体" w:hAnsi="楷体" w:eastAsia="楷体" w:cs="楷体"/>
          <w:color w:val="000000"/>
          <w:sz w:val="24"/>
          <w:szCs w:val="24"/>
          <w:highlight w:val="none"/>
          <w:lang w:val="en-US"/>
        </w:rPr>
        <w:t>赎回金额保留两位小数）</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（二）测算示例（数据为模拟数据，不代表产品真实收益）</w:t>
      </w:r>
    </w:p>
    <w:p>
      <w:pPr>
        <w:spacing w:line="360" w:lineRule="exact"/>
        <w:ind w:firstLine="482" w:firstLineChars="201"/>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1、情景一</w:t>
      </w:r>
    </w:p>
    <w:p>
      <w:pPr>
        <w:spacing w:line="360" w:lineRule="exact"/>
        <w:ind w:firstLine="482" w:firstLineChars="201"/>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rPr>
        <w:t>假设</w:t>
      </w:r>
      <w:r>
        <w:rPr>
          <w:rFonts w:hint="eastAsia" w:ascii="楷体" w:hAnsi="楷体" w:eastAsia="楷体" w:cs="楷体"/>
          <w:color w:val="000000"/>
          <w:sz w:val="24"/>
          <w:szCs w:val="24"/>
          <w:lang w:val="en-US" w:eastAsia="zh-CN"/>
        </w:rPr>
        <w:t>某投资者A申购确认金额50000元</w:t>
      </w:r>
      <w:r>
        <w:rPr>
          <w:rFonts w:hint="eastAsia" w:ascii="楷体" w:hAnsi="楷体" w:eastAsia="楷体" w:cs="楷体"/>
          <w:color w:val="000000"/>
          <w:sz w:val="24"/>
          <w:szCs w:val="24"/>
          <w:lang w:val="en-US"/>
        </w:rPr>
        <w:t>，</w:t>
      </w:r>
      <w:r>
        <w:rPr>
          <w:rFonts w:hint="eastAsia" w:ascii="楷体" w:hAnsi="楷体" w:eastAsia="楷体" w:cs="楷体"/>
          <w:color w:val="000000"/>
          <w:sz w:val="24"/>
          <w:szCs w:val="24"/>
          <w:lang w:val="en-US" w:eastAsia="zh-CN"/>
        </w:rPr>
        <w:t>对应申购确认日的产品单位净值为1.00051781</w:t>
      </w:r>
      <w:r>
        <w:rPr>
          <w:rFonts w:hint="eastAsia" w:ascii="楷体" w:hAnsi="楷体" w:eastAsia="楷体" w:cs="楷体"/>
          <w:color w:val="000000"/>
          <w:sz w:val="24"/>
          <w:szCs w:val="24"/>
          <w:lang w:val="en-US"/>
        </w:rPr>
        <w:t>元/份，</w:t>
      </w:r>
      <w:r>
        <w:rPr>
          <w:rFonts w:hint="eastAsia" w:ascii="楷体" w:hAnsi="楷体" w:eastAsia="楷体" w:cs="楷体"/>
          <w:color w:val="000000"/>
          <w:sz w:val="24"/>
          <w:szCs w:val="24"/>
          <w:lang w:val="en-US" w:eastAsia="zh-CN"/>
        </w:rPr>
        <w:t>客户</w:t>
      </w:r>
      <w:r>
        <w:rPr>
          <w:rFonts w:hint="eastAsia" w:ascii="楷体" w:hAnsi="楷体" w:eastAsia="楷体" w:cs="楷体"/>
          <w:color w:val="000000"/>
          <w:sz w:val="24"/>
          <w:szCs w:val="24"/>
          <w:lang w:val="en-US"/>
        </w:rPr>
        <w:t>申购确认份额=50000/</w:t>
      </w:r>
      <w:r>
        <w:rPr>
          <w:rFonts w:hint="eastAsia" w:ascii="楷体" w:hAnsi="楷体" w:eastAsia="楷体" w:cs="楷体"/>
          <w:color w:val="000000"/>
          <w:sz w:val="24"/>
          <w:szCs w:val="24"/>
          <w:lang w:val="en-US" w:eastAsia="zh-CN"/>
        </w:rPr>
        <w:t>1.00051781</w:t>
      </w:r>
      <w:r>
        <w:rPr>
          <w:rFonts w:hint="eastAsia" w:ascii="楷体" w:hAnsi="楷体" w:eastAsia="楷体" w:cs="楷体"/>
          <w:color w:val="000000"/>
          <w:sz w:val="24"/>
          <w:szCs w:val="24"/>
          <w:lang w:val="en-US"/>
        </w:rPr>
        <w:t>=</w:t>
      </w:r>
      <w:r>
        <w:rPr>
          <w:rFonts w:hint="eastAsia" w:ascii="楷体" w:hAnsi="楷体" w:eastAsia="楷体" w:cs="楷体"/>
          <w:color w:val="000000"/>
          <w:sz w:val="24"/>
          <w:szCs w:val="24"/>
          <w:lang w:val="en-US" w:eastAsia="zh-CN"/>
        </w:rPr>
        <w:t>49974.12</w:t>
      </w:r>
      <w:r>
        <w:rPr>
          <w:rFonts w:hint="eastAsia" w:ascii="楷体" w:hAnsi="楷体" w:eastAsia="楷体" w:cs="楷体"/>
          <w:color w:val="000000"/>
          <w:sz w:val="24"/>
          <w:szCs w:val="24"/>
          <w:lang w:val="en-US"/>
        </w:rPr>
        <w:t>份</w:t>
      </w:r>
      <w:r>
        <w:rPr>
          <w:rFonts w:hint="eastAsia" w:ascii="楷体" w:hAnsi="楷体" w:eastAsia="楷体" w:cs="楷体"/>
          <w:color w:val="000000"/>
          <w:sz w:val="24"/>
          <w:szCs w:val="24"/>
          <w:lang w:val="en-US" w:eastAsia="zh-CN"/>
        </w:rPr>
        <w:t>，</w:t>
      </w:r>
      <w:r>
        <w:rPr>
          <w:rFonts w:hint="default" w:ascii="楷体" w:hAnsi="楷体" w:eastAsia="楷体" w:cs="楷体"/>
          <w:bCs w:val="0"/>
          <w:color w:val="000000"/>
          <w:sz w:val="24"/>
          <w:szCs w:val="24"/>
        </w:rPr>
        <w:t>投资者A</w:t>
      </w:r>
      <w:r>
        <w:rPr>
          <w:rFonts w:hint="default" w:ascii="楷体" w:hAnsi="楷体" w:eastAsia="楷体" w:cs="楷体"/>
          <w:bCs w:val="0"/>
          <w:color w:val="000000"/>
          <w:sz w:val="24"/>
          <w:szCs w:val="24"/>
          <w:lang w:val="en-US" w:eastAsia="zh-CN"/>
        </w:rPr>
        <w:t>在</w:t>
      </w:r>
      <w:r>
        <w:rPr>
          <w:rFonts w:hint="eastAsia" w:ascii="楷体" w:hAnsi="楷体" w:eastAsia="楷体" w:cs="楷体"/>
          <w:bCs w:val="0"/>
          <w:color w:val="000000"/>
          <w:sz w:val="24"/>
          <w:szCs w:val="24"/>
          <w:lang w:val="en-US" w:eastAsia="zh-CN"/>
        </w:rPr>
        <w:t>后续某个投资周期提交赎回申请，赎回其所持有全部</w:t>
      </w:r>
      <w:r>
        <w:rPr>
          <w:rFonts w:ascii="楷体" w:hAnsi="楷体" w:eastAsia="楷体" w:cs="楷体"/>
          <w:bCs w:val="0"/>
          <w:color w:val="000000"/>
          <w:sz w:val="24"/>
          <w:szCs w:val="24"/>
        </w:rPr>
        <w:t>份额</w:t>
      </w:r>
      <w:r>
        <w:rPr>
          <w:rFonts w:hint="default" w:ascii="楷体" w:hAnsi="楷体" w:eastAsia="楷体" w:cs="楷体"/>
          <w:bCs w:val="0"/>
          <w:color w:val="000000"/>
          <w:sz w:val="24"/>
          <w:szCs w:val="24"/>
          <w:lang w:eastAsia="zh-CN"/>
        </w:rPr>
        <w:t>，</w:t>
      </w:r>
      <w:r>
        <w:rPr>
          <w:rFonts w:hint="eastAsia" w:ascii="楷体" w:hAnsi="楷体" w:eastAsia="楷体" w:cs="楷体"/>
          <w:color w:val="000000"/>
          <w:sz w:val="24"/>
          <w:szCs w:val="24"/>
          <w:lang w:val="en-US" w:eastAsia="zh-CN"/>
        </w:rPr>
        <w:t>对应赎回开放日产品</w:t>
      </w:r>
      <w:r>
        <w:rPr>
          <w:rFonts w:hint="eastAsia" w:ascii="楷体" w:hAnsi="楷体" w:eastAsia="楷体" w:cs="楷体"/>
          <w:color w:val="000000"/>
          <w:sz w:val="24"/>
          <w:szCs w:val="24"/>
          <w:lang w:val="en-US"/>
        </w:rPr>
        <w:t>单位净值为</w:t>
      </w:r>
      <w:r>
        <w:rPr>
          <w:rFonts w:hint="default" w:ascii="楷体" w:hAnsi="楷体" w:eastAsia="楷体" w:cs="楷体"/>
          <w:color w:val="000000"/>
          <w:sz w:val="24"/>
          <w:szCs w:val="24"/>
          <w:lang w:val="en-US" w:eastAsia="zh-CN"/>
        </w:rPr>
        <w:t>1.00103589</w:t>
      </w:r>
      <w:r>
        <w:rPr>
          <w:rFonts w:hint="eastAsia" w:ascii="楷体" w:hAnsi="楷体" w:eastAsia="楷体" w:cs="楷体"/>
          <w:color w:val="000000"/>
          <w:sz w:val="24"/>
          <w:szCs w:val="24"/>
          <w:lang w:val="en-US"/>
        </w:rPr>
        <w:t>元/份</w:t>
      </w:r>
      <w:r>
        <w:rPr>
          <w:rFonts w:hint="default" w:ascii="楷体" w:hAnsi="楷体" w:eastAsia="楷体" w:cs="楷体"/>
          <w:color w:val="000000"/>
          <w:sz w:val="24"/>
          <w:szCs w:val="24"/>
          <w:lang w:val="en-US" w:eastAsia="zh-CN"/>
        </w:rPr>
        <w:t>（单位净值已扣除产品托管费、固定管理费、超额业绩报酬（如有）、相关税费等），</w:t>
      </w:r>
      <w:r>
        <w:rPr>
          <w:rFonts w:hint="eastAsia" w:ascii="楷体" w:hAnsi="楷体" w:eastAsia="楷体" w:cs="楷体"/>
          <w:color w:val="000000"/>
          <w:sz w:val="24"/>
          <w:szCs w:val="24"/>
          <w:lang w:val="en-US" w:eastAsia="zh-CN"/>
        </w:rPr>
        <w:t>投资者赎回兑付金额=49974.12*1.00103589=50025.89元。</w:t>
      </w:r>
    </w:p>
    <w:p>
      <w:pPr>
        <w:numPr>
          <w:ilvl w:val="-1"/>
          <w:numId w:val="0"/>
        </w:numPr>
        <w:spacing w:line="36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2、情景二</w:t>
      </w:r>
    </w:p>
    <w:p>
      <w:pPr>
        <w:spacing w:line="360" w:lineRule="exact"/>
        <w:ind w:firstLine="482" w:firstLineChars="201"/>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rPr>
        <w:t>假设</w:t>
      </w:r>
      <w:r>
        <w:rPr>
          <w:rFonts w:hint="eastAsia" w:ascii="楷体" w:hAnsi="楷体" w:eastAsia="楷体" w:cs="楷体"/>
          <w:color w:val="000000"/>
          <w:sz w:val="24"/>
          <w:szCs w:val="24"/>
          <w:lang w:val="en-US" w:eastAsia="zh-CN"/>
        </w:rPr>
        <w:t>某投资者A申购确认金额50000元</w:t>
      </w:r>
      <w:r>
        <w:rPr>
          <w:rFonts w:hint="eastAsia" w:ascii="楷体" w:hAnsi="楷体" w:eastAsia="楷体" w:cs="楷体"/>
          <w:color w:val="000000"/>
          <w:sz w:val="24"/>
          <w:szCs w:val="24"/>
          <w:lang w:val="en-US"/>
        </w:rPr>
        <w:t>，</w:t>
      </w:r>
      <w:r>
        <w:rPr>
          <w:rFonts w:hint="eastAsia" w:ascii="楷体" w:hAnsi="楷体" w:eastAsia="楷体" w:cs="楷体"/>
          <w:color w:val="000000"/>
          <w:sz w:val="24"/>
          <w:szCs w:val="24"/>
          <w:lang w:val="en-US" w:eastAsia="zh-CN"/>
        </w:rPr>
        <w:t>对应申购确认日的产品单位净值为1.00051781</w:t>
      </w:r>
      <w:r>
        <w:rPr>
          <w:rFonts w:hint="eastAsia" w:ascii="楷体" w:hAnsi="楷体" w:eastAsia="楷体" w:cs="楷体"/>
          <w:color w:val="000000"/>
          <w:sz w:val="24"/>
          <w:szCs w:val="24"/>
          <w:lang w:val="en-US"/>
        </w:rPr>
        <w:t>元/份，</w:t>
      </w:r>
      <w:r>
        <w:rPr>
          <w:rFonts w:hint="eastAsia" w:ascii="楷体" w:hAnsi="楷体" w:eastAsia="楷体" w:cs="楷体"/>
          <w:color w:val="000000"/>
          <w:sz w:val="24"/>
          <w:szCs w:val="24"/>
          <w:lang w:val="en-US" w:eastAsia="zh-CN"/>
        </w:rPr>
        <w:t>客户</w:t>
      </w:r>
      <w:r>
        <w:rPr>
          <w:rFonts w:hint="eastAsia" w:ascii="楷体" w:hAnsi="楷体" w:eastAsia="楷体" w:cs="楷体"/>
          <w:color w:val="000000"/>
          <w:sz w:val="24"/>
          <w:szCs w:val="24"/>
          <w:lang w:val="en-US"/>
        </w:rPr>
        <w:t>申购确认份额=50000/</w:t>
      </w:r>
      <w:r>
        <w:rPr>
          <w:rFonts w:hint="eastAsia" w:ascii="楷体" w:hAnsi="楷体" w:eastAsia="楷体" w:cs="楷体"/>
          <w:color w:val="000000"/>
          <w:sz w:val="24"/>
          <w:szCs w:val="24"/>
          <w:lang w:val="en-US" w:eastAsia="zh-CN"/>
        </w:rPr>
        <w:t>1.00051781</w:t>
      </w:r>
      <w:r>
        <w:rPr>
          <w:rFonts w:hint="eastAsia" w:ascii="楷体" w:hAnsi="楷体" w:eastAsia="楷体" w:cs="楷体"/>
          <w:color w:val="000000"/>
          <w:sz w:val="24"/>
          <w:szCs w:val="24"/>
          <w:lang w:val="en-US"/>
        </w:rPr>
        <w:t>=</w:t>
      </w:r>
      <w:r>
        <w:rPr>
          <w:rFonts w:hint="eastAsia" w:ascii="楷体" w:hAnsi="楷体" w:eastAsia="楷体" w:cs="楷体"/>
          <w:color w:val="000000"/>
          <w:sz w:val="24"/>
          <w:szCs w:val="24"/>
          <w:lang w:val="en-US" w:eastAsia="zh-CN"/>
        </w:rPr>
        <w:t>49974.12</w:t>
      </w:r>
      <w:r>
        <w:rPr>
          <w:rFonts w:hint="eastAsia" w:ascii="楷体" w:hAnsi="楷体" w:eastAsia="楷体" w:cs="楷体"/>
          <w:color w:val="000000"/>
          <w:sz w:val="24"/>
          <w:szCs w:val="24"/>
          <w:lang w:val="en-US"/>
        </w:rPr>
        <w:t>份</w:t>
      </w:r>
      <w:r>
        <w:rPr>
          <w:rFonts w:hint="eastAsia" w:ascii="楷体" w:hAnsi="楷体" w:eastAsia="楷体" w:cs="楷体"/>
          <w:color w:val="000000"/>
          <w:sz w:val="24"/>
          <w:szCs w:val="24"/>
          <w:lang w:val="en-US" w:eastAsia="zh-CN"/>
        </w:rPr>
        <w:t>，</w:t>
      </w:r>
      <w:r>
        <w:rPr>
          <w:rFonts w:hint="default" w:ascii="楷体" w:hAnsi="楷体" w:eastAsia="楷体" w:cs="楷体"/>
          <w:bCs w:val="0"/>
          <w:color w:val="000000"/>
          <w:sz w:val="24"/>
          <w:szCs w:val="24"/>
        </w:rPr>
        <w:t>投资者A</w:t>
      </w:r>
      <w:r>
        <w:rPr>
          <w:rFonts w:hint="default" w:ascii="楷体" w:hAnsi="楷体" w:eastAsia="楷体" w:cs="楷体"/>
          <w:bCs w:val="0"/>
          <w:color w:val="000000"/>
          <w:sz w:val="24"/>
          <w:szCs w:val="24"/>
          <w:lang w:val="en-US" w:eastAsia="zh-CN"/>
        </w:rPr>
        <w:t>在</w:t>
      </w:r>
      <w:r>
        <w:rPr>
          <w:rFonts w:hint="eastAsia" w:ascii="楷体" w:hAnsi="楷体" w:eastAsia="楷体" w:cs="楷体"/>
          <w:bCs w:val="0"/>
          <w:color w:val="000000"/>
          <w:sz w:val="24"/>
          <w:szCs w:val="24"/>
          <w:lang w:val="en-US" w:eastAsia="zh-CN"/>
        </w:rPr>
        <w:t>后续某个投资周期提交赎回申请，赎回其所持有全部</w:t>
      </w:r>
      <w:r>
        <w:rPr>
          <w:rFonts w:ascii="楷体" w:hAnsi="楷体" w:eastAsia="楷体" w:cs="楷体"/>
          <w:bCs w:val="0"/>
          <w:color w:val="000000"/>
          <w:sz w:val="24"/>
          <w:szCs w:val="24"/>
        </w:rPr>
        <w:t>份额</w:t>
      </w:r>
      <w:r>
        <w:rPr>
          <w:rFonts w:hint="default" w:ascii="楷体" w:hAnsi="楷体" w:eastAsia="楷体" w:cs="楷体"/>
          <w:bCs w:val="0"/>
          <w:color w:val="000000"/>
          <w:sz w:val="24"/>
          <w:szCs w:val="24"/>
          <w:lang w:eastAsia="zh-CN"/>
        </w:rPr>
        <w:t>，</w:t>
      </w:r>
      <w:r>
        <w:rPr>
          <w:rFonts w:hint="eastAsia" w:ascii="楷体" w:hAnsi="楷体" w:eastAsia="楷体" w:cs="楷体"/>
          <w:color w:val="000000"/>
          <w:sz w:val="24"/>
          <w:szCs w:val="24"/>
          <w:lang w:val="en-US" w:eastAsia="zh-CN"/>
        </w:rPr>
        <w:t>对应赎回开放日产品</w:t>
      </w:r>
      <w:r>
        <w:rPr>
          <w:rFonts w:hint="eastAsia" w:ascii="楷体" w:hAnsi="楷体" w:eastAsia="楷体" w:cs="楷体"/>
          <w:color w:val="000000"/>
          <w:sz w:val="24"/>
          <w:szCs w:val="24"/>
          <w:lang w:val="en-US"/>
        </w:rPr>
        <w:t>单位净值为</w:t>
      </w:r>
      <w:r>
        <w:rPr>
          <w:rFonts w:hint="default" w:ascii="楷体" w:hAnsi="楷体" w:eastAsia="楷体" w:cs="楷体"/>
          <w:color w:val="000000"/>
          <w:sz w:val="24"/>
          <w:szCs w:val="24"/>
          <w:lang w:val="en-US" w:eastAsia="zh-CN"/>
        </w:rPr>
        <w:t>1.00</w:t>
      </w:r>
      <w:r>
        <w:rPr>
          <w:rFonts w:hint="eastAsia" w:ascii="楷体" w:hAnsi="楷体" w:eastAsia="楷体" w:cs="楷体"/>
          <w:color w:val="000000"/>
          <w:sz w:val="24"/>
          <w:szCs w:val="24"/>
          <w:lang w:val="en-US" w:eastAsia="zh-CN"/>
        </w:rPr>
        <w:t>001781</w:t>
      </w:r>
      <w:r>
        <w:rPr>
          <w:rFonts w:hint="eastAsia" w:ascii="楷体" w:hAnsi="楷体" w:eastAsia="楷体" w:cs="楷体"/>
          <w:color w:val="000000"/>
          <w:sz w:val="24"/>
          <w:szCs w:val="24"/>
          <w:lang w:val="en-US"/>
        </w:rPr>
        <w:t>元/份</w:t>
      </w:r>
      <w:r>
        <w:rPr>
          <w:rFonts w:hint="default" w:ascii="楷体" w:hAnsi="楷体" w:eastAsia="楷体" w:cs="楷体"/>
          <w:color w:val="000000"/>
          <w:sz w:val="24"/>
          <w:szCs w:val="24"/>
          <w:lang w:val="en-US" w:eastAsia="zh-CN"/>
        </w:rPr>
        <w:t>（单位净值已扣除产品托管费、固定管理费、超额业绩报酬（如有）、相关税费等），</w:t>
      </w:r>
      <w:r>
        <w:rPr>
          <w:rFonts w:hint="eastAsia" w:ascii="楷体" w:hAnsi="楷体" w:eastAsia="楷体" w:cs="楷体"/>
          <w:color w:val="000000"/>
          <w:sz w:val="24"/>
          <w:szCs w:val="24"/>
          <w:lang w:val="en-US" w:eastAsia="zh-CN"/>
        </w:rPr>
        <w:t>投资者赎回兑付金额=49974.12*</w:t>
      </w:r>
      <w:r>
        <w:rPr>
          <w:rFonts w:hint="default" w:ascii="楷体" w:hAnsi="楷体" w:eastAsia="楷体" w:cs="楷体"/>
          <w:color w:val="000000"/>
          <w:sz w:val="24"/>
          <w:szCs w:val="24"/>
          <w:lang w:val="en-US" w:eastAsia="zh-CN"/>
        </w:rPr>
        <w:t>1.00</w:t>
      </w:r>
      <w:r>
        <w:rPr>
          <w:rFonts w:hint="eastAsia" w:ascii="楷体" w:hAnsi="楷体" w:eastAsia="楷体" w:cs="楷体"/>
          <w:color w:val="000000"/>
          <w:sz w:val="24"/>
          <w:szCs w:val="24"/>
          <w:lang w:val="en-US" w:eastAsia="zh-CN"/>
        </w:rPr>
        <w:t>001781=49975.01元，投资者投资本理财产品产生实际亏损50000-49975.01=24.99元，在最不利的情况下，投资者可能损失100%本金。</w:t>
      </w:r>
    </w:p>
    <w:p>
      <w:pPr>
        <w:spacing w:line="360" w:lineRule="exact"/>
        <w:ind w:firstLine="482" w:firstLineChars="201"/>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上述情况假设仅用于向投资者示例收益计算方法之用，并不代表管理人对实际投资情况的预期判断，也不代表以上所有情形或某一情形一定会发生，或</w:t>
      </w:r>
      <w:bookmarkStart w:id="0" w:name="_GoBack"/>
      <w:bookmarkEnd w:id="0"/>
      <w:r>
        <w:rPr>
          <w:rFonts w:hint="eastAsia" w:ascii="楷体" w:hAnsi="楷体" w:eastAsia="楷体" w:cs="楷体"/>
          <w:color w:val="000000"/>
          <w:sz w:val="24"/>
          <w:szCs w:val="24"/>
          <w:lang w:val="en-US" w:eastAsia="zh-CN"/>
        </w:rPr>
        <w:t>管理人认为发生的可能性很大。投资者获得的最终收益以产品实际运作表现及管理人实际支付为准。</w:t>
      </w:r>
    </w:p>
    <w:p>
      <w:pPr>
        <w:numPr>
          <w:ilvl w:val="0"/>
          <w:numId w:val="0"/>
        </w:numPr>
        <w:spacing w:line="360" w:lineRule="exact"/>
        <w:ind w:firstLine="605" w:firstLineChars="201"/>
        <w:rPr>
          <w:rFonts w:hint="eastAsia" w:ascii="楷体" w:hAnsi="楷体" w:eastAsia="楷体" w:cs="楷体"/>
          <w:b/>
          <w:bCs/>
          <w:color w:val="000000"/>
          <w:sz w:val="30"/>
          <w:szCs w:val="30"/>
          <w:lang w:val="en-US"/>
        </w:rPr>
      </w:pPr>
      <w:r>
        <w:rPr>
          <w:rFonts w:hint="eastAsia" w:ascii="楷体" w:hAnsi="楷体" w:eastAsia="楷体" w:cs="楷体"/>
          <w:b/>
          <w:bCs/>
          <w:color w:val="000000"/>
          <w:sz w:val="30"/>
          <w:szCs w:val="30"/>
          <w:lang w:val="en-US" w:eastAsia="zh-CN"/>
        </w:rPr>
        <w:t>八</w:t>
      </w:r>
      <w:r>
        <w:rPr>
          <w:rFonts w:hint="eastAsia" w:ascii="楷体" w:hAnsi="楷体" w:eastAsia="楷体" w:cs="楷体"/>
          <w:b/>
          <w:bCs/>
          <w:color w:val="000000"/>
          <w:sz w:val="30"/>
          <w:szCs w:val="30"/>
          <w:lang w:val="en-US"/>
        </w:rPr>
        <w:t>、信息披露</w:t>
      </w:r>
    </w:p>
    <w:p>
      <w:pPr>
        <w:spacing w:line="360" w:lineRule="exact"/>
        <w:ind w:firstLine="480" w:firstLineChars="200"/>
        <w:rPr>
          <w:rFonts w:ascii="楷体" w:hAnsi="楷体" w:eastAsia="楷体" w:cs="楷体"/>
          <w:sz w:val="24"/>
        </w:rPr>
      </w:pPr>
      <w:r>
        <w:rPr>
          <w:rFonts w:hint="eastAsia" w:ascii="楷体" w:hAnsi="楷体" w:eastAsia="楷体" w:cs="楷体"/>
          <w:sz w:val="24"/>
        </w:rPr>
        <w:t xml:space="preserve">（一）信息披露的内容 </w:t>
      </w:r>
    </w:p>
    <w:p>
      <w:pPr>
        <w:spacing w:line="360" w:lineRule="exact"/>
        <w:ind w:firstLine="480" w:firstLineChars="200"/>
        <w:rPr>
          <w:rFonts w:ascii="楷体" w:hAnsi="楷体" w:eastAsia="楷体" w:cs="楷体"/>
          <w:sz w:val="24"/>
        </w:rPr>
      </w:pPr>
      <w:r>
        <w:rPr>
          <w:rFonts w:hint="eastAsia" w:ascii="楷体" w:hAnsi="楷体" w:eastAsia="楷体" w:cs="楷体"/>
          <w:sz w:val="24"/>
        </w:rPr>
        <w:t>1.发行公告：在产品成立后5个工作日内披露产品发行公告。</w:t>
      </w:r>
    </w:p>
    <w:p>
      <w:pPr>
        <w:spacing w:line="360" w:lineRule="exact"/>
        <w:ind w:firstLine="480" w:firstLineChars="200"/>
        <w:rPr>
          <w:rFonts w:ascii="楷体" w:hAnsi="楷体" w:eastAsia="楷体" w:cs="楷体"/>
          <w:sz w:val="24"/>
        </w:rPr>
      </w:pPr>
      <w:r>
        <w:rPr>
          <w:rFonts w:hint="eastAsia" w:ascii="楷体" w:hAnsi="楷体" w:eastAsia="楷体" w:cs="楷体"/>
          <w:sz w:val="24"/>
        </w:rPr>
        <w:t>2.定期报告：在每个季度结束之日起15个工作日内、上半年结束之日起60个工作日内、每年结束之日起90个工作日内，披露理财产品的季度、半年和年度报告等定期报告。理财产品成立不足90个工作日或者剩余存续期不超过90个工作日的，产品管理人可以不编制理财产品当期的季度、半年和年度报告。</w:t>
      </w:r>
    </w:p>
    <w:p>
      <w:pPr>
        <w:spacing w:line="360" w:lineRule="exact"/>
        <w:ind w:firstLine="480" w:firstLineChars="200"/>
        <w:rPr>
          <w:rFonts w:ascii="楷体" w:hAnsi="楷体" w:eastAsia="楷体" w:cs="楷体"/>
          <w:sz w:val="24"/>
        </w:rPr>
      </w:pPr>
      <w:r>
        <w:rPr>
          <w:rFonts w:hint="eastAsia" w:ascii="楷体" w:hAnsi="楷体" w:eastAsia="楷体" w:cs="楷体"/>
          <w:sz w:val="24"/>
        </w:rPr>
        <w:t>3</w:t>
      </w:r>
      <w:r>
        <w:rPr>
          <w:rFonts w:hint="eastAsia" w:ascii="楷体" w:hAnsi="楷体" w:eastAsia="楷体" w:cs="楷体"/>
          <w:sz w:val="24"/>
          <w:lang w:eastAsia="zh-CN"/>
        </w:rPr>
        <w:t>.</w:t>
      </w:r>
      <w:r>
        <w:rPr>
          <w:rFonts w:hint="eastAsia" w:ascii="楷体" w:hAnsi="楷体" w:eastAsia="楷体" w:cs="楷体"/>
          <w:sz w:val="24"/>
        </w:rPr>
        <w:t>到期公告：在产品终止后5个工作日内披露产品到期公告。</w:t>
      </w:r>
    </w:p>
    <w:p>
      <w:pPr>
        <w:spacing w:line="360" w:lineRule="exact"/>
        <w:ind w:firstLine="480" w:firstLineChars="200"/>
        <w:rPr>
          <w:rFonts w:ascii="楷体" w:hAnsi="楷体" w:eastAsia="楷体" w:cs="楷体"/>
          <w:sz w:val="24"/>
        </w:rPr>
      </w:pPr>
      <w:r>
        <w:rPr>
          <w:rFonts w:hint="eastAsia" w:ascii="楷体" w:hAnsi="楷体" w:eastAsia="楷体" w:cs="楷体"/>
          <w:sz w:val="24"/>
        </w:rPr>
        <w:t>4</w:t>
      </w:r>
      <w:r>
        <w:rPr>
          <w:rFonts w:hint="eastAsia" w:ascii="楷体" w:hAnsi="楷体" w:eastAsia="楷体" w:cs="楷体"/>
          <w:sz w:val="24"/>
          <w:lang w:eastAsia="zh-CN"/>
        </w:rPr>
        <w:t>.</w:t>
      </w:r>
      <w:r>
        <w:rPr>
          <w:rFonts w:hint="eastAsia" w:ascii="楷体" w:hAnsi="楷体" w:eastAsia="楷体" w:cs="楷体"/>
          <w:sz w:val="24"/>
        </w:rPr>
        <w:t>重大事项公告：产品管理人在发生可能对理财产品投资者或者理财产品收益产生重大事项的事件后2个工作日内发布重大事项公告。</w:t>
      </w:r>
    </w:p>
    <w:p>
      <w:pPr>
        <w:spacing w:line="360" w:lineRule="exact"/>
        <w:ind w:firstLine="480" w:firstLineChars="200"/>
        <w:rPr>
          <w:rFonts w:hint="eastAsia" w:ascii="楷体" w:hAnsi="楷体" w:eastAsia="楷体" w:cs="楷体"/>
          <w:sz w:val="24"/>
          <w:lang w:eastAsia="zh-CN"/>
        </w:rPr>
      </w:pPr>
      <w:r>
        <w:rPr>
          <w:rFonts w:hint="eastAsia" w:ascii="楷体" w:hAnsi="楷体" w:eastAsia="楷体" w:cs="楷体"/>
          <w:sz w:val="24"/>
        </w:rPr>
        <w:t>5.净值披露：每周向投资者披露份额净值</w:t>
      </w:r>
      <w:r>
        <w:rPr>
          <w:rFonts w:hint="eastAsia" w:ascii="楷体" w:hAnsi="楷体" w:eastAsia="楷体" w:cs="楷体"/>
          <w:sz w:val="24"/>
          <w:lang w:eastAsia="zh-CN"/>
        </w:rPr>
        <w:t>。</w:t>
      </w:r>
    </w:p>
    <w:p>
      <w:pPr>
        <w:spacing w:line="360" w:lineRule="exact"/>
        <w:ind w:firstLine="480" w:firstLineChars="200"/>
        <w:rPr>
          <w:rFonts w:ascii="楷体" w:hAnsi="楷体" w:eastAsia="楷体" w:cs="楷体"/>
          <w:sz w:val="24"/>
        </w:rPr>
      </w:pPr>
      <w:r>
        <w:rPr>
          <w:rFonts w:hint="eastAsia" w:ascii="楷体" w:hAnsi="楷体" w:eastAsia="楷体" w:cs="楷体"/>
          <w:sz w:val="24"/>
        </w:rPr>
        <w:t>（二）产品临时性信息披露</w:t>
      </w:r>
    </w:p>
    <w:p>
      <w:pPr>
        <w:spacing w:line="360" w:lineRule="exact"/>
        <w:ind w:firstLine="480" w:firstLineChars="200"/>
        <w:rPr>
          <w:rFonts w:ascii="楷体" w:hAnsi="楷体" w:eastAsia="楷体" w:cs="楷体"/>
          <w:sz w:val="24"/>
        </w:rPr>
      </w:pPr>
      <w:r>
        <w:rPr>
          <w:rFonts w:hint="eastAsia" w:ascii="楷体" w:hAnsi="楷体" w:eastAsia="楷体" w:cs="楷体"/>
          <w:sz w:val="24"/>
        </w:rPr>
        <w:t>1.发生产品管理人或托管人变更的情形，应至少提前 2 个工作日进行信息披露。</w:t>
      </w:r>
    </w:p>
    <w:p>
      <w:pPr>
        <w:spacing w:line="360" w:lineRule="exact"/>
        <w:ind w:firstLine="480" w:firstLineChars="200"/>
        <w:rPr>
          <w:rFonts w:ascii="楷体" w:hAnsi="楷体" w:eastAsia="楷体" w:cs="楷体"/>
          <w:sz w:val="24"/>
        </w:rPr>
      </w:pPr>
      <w:r>
        <w:rPr>
          <w:rFonts w:hint="eastAsia" w:ascii="楷体" w:hAnsi="楷体" w:eastAsia="楷体" w:cs="楷体"/>
          <w:sz w:val="24"/>
        </w:rPr>
        <w:t>2.如产品管理人调整产品规模上限或下限，应最晚于调整规模上限或下限之日进行信息披露。</w:t>
      </w:r>
    </w:p>
    <w:p>
      <w:pPr>
        <w:spacing w:line="360" w:lineRule="exact"/>
        <w:ind w:firstLine="480" w:firstLineChars="200"/>
        <w:rPr>
          <w:rFonts w:ascii="楷体" w:hAnsi="楷体" w:eastAsia="楷体" w:cs="楷体"/>
          <w:sz w:val="24"/>
        </w:rPr>
      </w:pPr>
      <w:r>
        <w:rPr>
          <w:rFonts w:hint="eastAsia" w:ascii="楷体" w:hAnsi="楷体" w:eastAsia="楷体" w:cs="楷体"/>
          <w:sz w:val="24"/>
        </w:rPr>
        <w:t>3.如遇工作日特殊情况，以产品管理人信息披露为准。</w:t>
      </w:r>
    </w:p>
    <w:p>
      <w:pPr>
        <w:spacing w:line="360" w:lineRule="exact"/>
        <w:ind w:firstLine="480" w:firstLineChars="200"/>
        <w:rPr>
          <w:rFonts w:ascii="楷体" w:hAnsi="楷体" w:eastAsia="楷体" w:cs="楷体"/>
          <w:sz w:val="24"/>
        </w:rPr>
      </w:pPr>
      <w:r>
        <w:rPr>
          <w:rFonts w:hint="eastAsia" w:ascii="楷体" w:hAnsi="楷体" w:eastAsia="楷体" w:cs="楷体"/>
          <w:sz w:val="24"/>
        </w:rPr>
        <w:t>4.产品管理人有权对投资范围和投资资产种类或投资比例进行调整，并至少提前 2 个工作日进行信息披露。若投资者不接受的，可在信息披露生效前赎回本产品，此种情况下产品管理人将可能开放特殊赎回期间，具体以产品管理人信息披露为准。</w:t>
      </w:r>
    </w:p>
    <w:p>
      <w:pPr>
        <w:spacing w:line="360" w:lineRule="exact"/>
        <w:ind w:firstLine="480" w:firstLineChars="200"/>
        <w:rPr>
          <w:rFonts w:ascii="楷体" w:hAnsi="楷体" w:eastAsia="楷体" w:cs="楷体"/>
          <w:sz w:val="24"/>
        </w:rPr>
      </w:pPr>
      <w:r>
        <w:rPr>
          <w:rFonts w:hint="eastAsia" w:ascii="楷体" w:hAnsi="楷体" w:eastAsia="楷体" w:cs="楷体"/>
          <w:sz w:val="24"/>
        </w:rPr>
        <w:t>5.产品管理人有权根据市场情况等调整理财费用包括不限于：认/申购费率、销售费费率、固定管理费费率、托管费费率和超额业绩报酬计提方式和比例，并最晚于调整日之前 2 个工作日进行信息披露。如投资者不接受的，可在信息披露生效前赎回本产品，此种情况下产品管理人将可能开放特殊赎回期间，具体以产品管理人信息披露为准。</w:t>
      </w:r>
    </w:p>
    <w:p>
      <w:pPr>
        <w:spacing w:line="360" w:lineRule="exact"/>
        <w:ind w:firstLine="480" w:firstLineChars="200"/>
        <w:rPr>
          <w:rFonts w:ascii="楷体" w:hAnsi="楷体" w:eastAsia="楷体" w:cs="楷体"/>
          <w:sz w:val="24"/>
        </w:rPr>
      </w:pPr>
      <w:r>
        <w:rPr>
          <w:rFonts w:hint="eastAsia" w:ascii="楷体" w:hAnsi="楷体" w:eastAsia="楷体" w:cs="楷体"/>
          <w:sz w:val="24"/>
        </w:rPr>
        <w:t>6.产品管理人有权对业绩比较基准进行调整，并最晚于调整日进行信息披露。</w:t>
      </w:r>
    </w:p>
    <w:p>
      <w:pPr>
        <w:spacing w:line="360" w:lineRule="exact"/>
        <w:ind w:firstLine="480" w:firstLineChars="200"/>
        <w:rPr>
          <w:rFonts w:ascii="楷体" w:hAnsi="楷体" w:eastAsia="楷体" w:cs="楷体"/>
          <w:sz w:val="24"/>
        </w:rPr>
      </w:pPr>
      <w:r>
        <w:rPr>
          <w:rFonts w:hint="eastAsia" w:ascii="楷体" w:hAnsi="楷体" w:eastAsia="楷体" w:cs="楷体"/>
          <w:sz w:val="24"/>
        </w:rPr>
        <w:t>7.产品管理人有权调整产品分红规则，并最晚于调整日前 2 个工作日进行信息披露。</w:t>
      </w:r>
    </w:p>
    <w:p>
      <w:pPr>
        <w:spacing w:line="360" w:lineRule="exact"/>
        <w:ind w:firstLine="480" w:firstLineChars="200"/>
        <w:rPr>
          <w:rFonts w:ascii="楷体" w:hAnsi="楷体" w:eastAsia="楷体" w:cs="楷体"/>
          <w:sz w:val="24"/>
        </w:rPr>
      </w:pPr>
      <w:r>
        <w:rPr>
          <w:rFonts w:hint="eastAsia" w:ascii="楷体" w:hAnsi="楷体" w:eastAsia="楷体" w:cs="楷体"/>
          <w:sz w:val="24"/>
        </w:rPr>
        <w:t>8.在本理财产品存续期内，如因国家法律法规、监管规定发生变化，或是出于维护本理财产品正常运营的需要，在不损害客户利益的前提下，张家港农村商业银行有权单方对本理财产品说明书进行修订，并提前2个工作日在张家港农村商业银行网站或相关营业网点进行信息披露。</w:t>
      </w:r>
    </w:p>
    <w:p>
      <w:pPr>
        <w:spacing w:line="360" w:lineRule="exact"/>
        <w:ind w:firstLine="480" w:firstLineChars="200"/>
        <w:rPr>
          <w:rFonts w:ascii="楷体" w:hAnsi="楷体" w:eastAsia="楷体" w:cs="楷体"/>
          <w:sz w:val="24"/>
        </w:rPr>
      </w:pPr>
      <w:r>
        <w:rPr>
          <w:rFonts w:hint="eastAsia" w:ascii="楷体" w:hAnsi="楷体" w:eastAsia="楷体" w:cs="楷体"/>
          <w:sz w:val="24"/>
        </w:rPr>
        <w:t xml:space="preserve">（三）投资者关于信息披露方式的确认 </w:t>
      </w:r>
    </w:p>
    <w:p>
      <w:pPr>
        <w:spacing w:line="360" w:lineRule="exact"/>
        <w:ind w:firstLine="480" w:firstLineChars="200"/>
        <w:rPr>
          <w:rFonts w:ascii="楷体" w:hAnsi="楷体" w:eastAsia="楷体" w:cs="楷体"/>
          <w:sz w:val="24"/>
        </w:rPr>
      </w:pPr>
      <w:r>
        <w:rPr>
          <w:rFonts w:hint="eastAsia" w:ascii="楷体" w:hAnsi="楷体" w:eastAsia="楷体" w:cs="楷体"/>
          <w:sz w:val="24"/>
        </w:rPr>
        <w:t>投资者签署（含电子渠道确认）本《产品说明书》的行为，即表明其确认并同意产品管理人可以通过下列方式披露信息：</w:t>
      </w:r>
    </w:p>
    <w:p>
      <w:pPr>
        <w:spacing w:line="360" w:lineRule="exact"/>
        <w:ind w:firstLine="480" w:firstLineChars="200"/>
        <w:rPr>
          <w:rFonts w:ascii="楷体" w:hAnsi="楷体" w:eastAsia="楷体" w:cs="楷体"/>
          <w:sz w:val="24"/>
        </w:rPr>
      </w:pPr>
      <w:r>
        <w:rPr>
          <w:rFonts w:hint="eastAsia" w:ascii="楷体" w:hAnsi="楷体" w:eastAsia="楷体" w:cs="楷体"/>
          <w:sz w:val="24"/>
        </w:rPr>
        <w:t>在张家港农村商业银行官方网站（https://www.zrcbank.com）</w:t>
      </w:r>
      <w:r>
        <w:rPr>
          <w:rFonts w:hint="eastAsia" w:ascii="楷体" w:hAnsi="楷体" w:eastAsia="楷体" w:cs="楷体"/>
          <w:sz w:val="24"/>
          <w:lang w:val="en-US" w:eastAsia="zh-CN"/>
        </w:rPr>
        <w:t>或手机银行</w:t>
      </w:r>
      <w:r>
        <w:rPr>
          <w:rFonts w:hint="eastAsia" w:ascii="楷体" w:hAnsi="楷体" w:eastAsia="楷体" w:cs="楷体"/>
          <w:sz w:val="24"/>
        </w:rPr>
        <w:t xml:space="preserve">进行披露； </w:t>
      </w:r>
    </w:p>
    <w:p>
      <w:pPr>
        <w:spacing w:line="360" w:lineRule="exact"/>
        <w:ind w:firstLine="480" w:firstLineChars="200"/>
        <w:rPr>
          <w:rFonts w:ascii="楷体" w:hAnsi="楷体" w:eastAsia="楷体" w:cs="楷体"/>
          <w:sz w:val="24"/>
        </w:rPr>
      </w:pPr>
      <w:r>
        <w:rPr>
          <w:rFonts w:hint="eastAsia" w:ascii="楷体" w:hAnsi="楷体" w:eastAsia="楷体" w:cs="楷体"/>
          <w:sz w:val="24"/>
        </w:rPr>
        <w:t xml:space="preserve">投资者应及时通过上述信息披露渠道浏览和阅读上述信息。如因投资者未及时查询或由于通讯故障、系统故障以及其他不可抗力等因素的影响而产生的（包括但不限于因未及时获知信息而错过资金使用和再投资机会等）全部责任和风险由投资者自行承担。 </w:t>
      </w:r>
    </w:p>
    <w:p>
      <w:pPr>
        <w:spacing w:line="360" w:lineRule="exact"/>
        <w:ind w:firstLine="480" w:firstLineChars="200"/>
        <w:rPr>
          <w:rFonts w:ascii="楷体" w:hAnsi="楷体" w:eastAsia="楷体" w:cs="楷体"/>
          <w:sz w:val="24"/>
        </w:rPr>
      </w:pPr>
      <w:r>
        <w:rPr>
          <w:rFonts w:hint="eastAsia" w:ascii="楷体" w:hAnsi="楷体" w:eastAsia="楷体" w:cs="楷体"/>
          <w:sz w:val="24"/>
        </w:rPr>
        <w:t xml:space="preserve">（四）其他需要投资者知晓的事项 </w:t>
      </w:r>
    </w:p>
    <w:p>
      <w:pPr>
        <w:spacing w:line="360" w:lineRule="exact"/>
        <w:ind w:firstLine="480" w:firstLineChars="200"/>
        <w:rPr>
          <w:rFonts w:hint="eastAsia" w:ascii="楷体" w:hAnsi="楷体" w:eastAsia="楷体" w:cs="楷体"/>
          <w:sz w:val="24"/>
        </w:rPr>
      </w:pPr>
      <w:r>
        <w:rPr>
          <w:rFonts w:hint="eastAsia" w:ascii="楷体" w:hAnsi="楷体" w:eastAsia="楷体" w:cs="楷体"/>
          <w:sz w:val="24"/>
        </w:rPr>
        <w:t>产品管理人根据适用的法律法规和监管机构要求，向监管机构和/或监管机构指定机构报送投资者身份信息及投资者持有本产品份额及其变动情况等相关信息。产品管理人对向监管机构和/或监管机构指定机构报送的相关信息负有保密义务,并在报送信息过程中,采取有效措施确保信息安全与保密。</w:t>
      </w:r>
    </w:p>
    <w:p>
      <w:pPr>
        <w:spacing w:line="360" w:lineRule="exact"/>
        <w:ind w:firstLine="482" w:firstLineChars="200"/>
        <w:rPr>
          <w:rFonts w:hint="default" w:ascii="楷体" w:hAnsi="楷体" w:eastAsia="楷体" w:cs="楷体"/>
          <w:b/>
          <w:bCs/>
          <w:color w:val="000000"/>
          <w:sz w:val="24"/>
          <w:szCs w:val="24"/>
          <w:lang w:val="en-US"/>
        </w:rPr>
      </w:pPr>
    </w:p>
    <w:p>
      <w:pPr>
        <w:numPr>
          <w:ilvl w:val="0"/>
          <w:numId w:val="0"/>
        </w:numPr>
        <w:spacing w:line="360" w:lineRule="exact"/>
        <w:ind w:firstLine="605" w:firstLineChars="201"/>
        <w:rPr>
          <w:rFonts w:hint="eastAsia" w:ascii="楷体" w:hAnsi="楷体" w:eastAsia="楷体" w:cs="楷体"/>
          <w:b/>
          <w:bCs/>
          <w:color w:val="000000"/>
          <w:sz w:val="30"/>
          <w:szCs w:val="30"/>
          <w:lang w:val="en-US"/>
        </w:rPr>
      </w:pPr>
      <w:r>
        <w:rPr>
          <w:rFonts w:hint="eastAsia" w:ascii="楷体" w:hAnsi="楷体" w:eastAsia="楷体" w:cs="楷体"/>
          <w:b/>
          <w:bCs/>
          <w:color w:val="000000"/>
          <w:sz w:val="30"/>
          <w:szCs w:val="30"/>
          <w:lang w:val="en-US" w:eastAsia="zh-CN"/>
        </w:rPr>
        <w:t>九</w:t>
      </w:r>
      <w:r>
        <w:rPr>
          <w:rFonts w:hint="eastAsia" w:ascii="楷体" w:hAnsi="楷体" w:eastAsia="楷体" w:cs="楷体"/>
          <w:b/>
          <w:bCs/>
          <w:color w:val="000000"/>
          <w:sz w:val="30"/>
          <w:szCs w:val="30"/>
          <w:lang w:val="en-US"/>
        </w:rPr>
        <w:t>、</w:t>
      </w:r>
      <w:r>
        <w:rPr>
          <w:rFonts w:hint="eastAsia" w:ascii="楷体" w:hAnsi="楷体" w:eastAsia="楷体" w:cs="楷体"/>
          <w:b/>
          <w:bCs/>
          <w:color w:val="000000"/>
          <w:sz w:val="30"/>
          <w:szCs w:val="30"/>
          <w:lang w:val="en-US" w:eastAsia="zh-CN"/>
        </w:rPr>
        <w:t>理财产品</w:t>
      </w:r>
      <w:r>
        <w:rPr>
          <w:rFonts w:hint="eastAsia" w:ascii="楷体" w:hAnsi="楷体" w:eastAsia="楷体" w:cs="楷体"/>
          <w:b/>
          <w:bCs/>
          <w:color w:val="000000"/>
          <w:sz w:val="30"/>
          <w:szCs w:val="30"/>
          <w:lang w:val="en-US"/>
        </w:rPr>
        <w:t>的终止</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（一）理财产品提前终止</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在理财产品存续期内，如发生以下事项时，银行可对本理财产品行使全部提前终止权：</w:t>
      </w:r>
    </w:p>
    <w:p>
      <w:pPr>
        <w:spacing w:line="360" w:lineRule="exact"/>
        <w:ind w:firstLine="482" w:firstLineChars="201"/>
        <w:rPr>
          <w:rFonts w:hint="eastAsia" w:ascii="楷体" w:hAnsi="楷体" w:eastAsia="楷体" w:cs="楷体"/>
          <w:sz w:val="24"/>
        </w:rPr>
      </w:pPr>
      <w:r>
        <w:rPr>
          <w:rFonts w:hint="eastAsia" w:ascii="楷体" w:hAnsi="楷体" w:eastAsia="楷体" w:cs="楷体"/>
          <w:sz w:val="24"/>
        </w:rPr>
        <w:t>1</w:t>
      </w:r>
      <w:r>
        <w:rPr>
          <w:rFonts w:hint="eastAsia" w:ascii="楷体" w:hAnsi="楷体" w:eastAsia="楷体" w:cs="楷体"/>
          <w:sz w:val="24"/>
          <w:lang w:eastAsia="zh-CN"/>
        </w:rPr>
        <w:t>.</w:t>
      </w:r>
      <w:r>
        <w:rPr>
          <w:rFonts w:hint="eastAsia" w:ascii="楷体" w:hAnsi="楷体" w:eastAsia="楷体" w:cs="楷体"/>
          <w:sz w:val="24"/>
        </w:rPr>
        <w:t>如因本理财产品资产运作模式等与法律法规、规章的规定或者监管部门的要求等存在冲突导致理财产品必须提前终止的；</w:t>
      </w:r>
    </w:p>
    <w:p>
      <w:pPr>
        <w:spacing w:line="360" w:lineRule="exact"/>
        <w:ind w:firstLine="482" w:firstLineChars="201"/>
        <w:rPr>
          <w:rFonts w:hint="eastAsia" w:ascii="楷体" w:hAnsi="楷体" w:eastAsia="楷体" w:cs="楷体"/>
          <w:sz w:val="24"/>
        </w:rPr>
      </w:pPr>
      <w:r>
        <w:rPr>
          <w:rFonts w:hint="eastAsia" w:ascii="楷体" w:hAnsi="楷体" w:eastAsia="楷体" w:cs="楷体"/>
          <w:sz w:val="24"/>
        </w:rPr>
        <w:t>2</w:t>
      </w:r>
      <w:r>
        <w:rPr>
          <w:rFonts w:hint="eastAsia" w:ascii="楷体" w:hAnsi="楷体" w:eastAsia="楷体" w:cs="楷体"/>
          <w:sz w:val="24"/>
          <w:lang w:eastAsia="zh-CN"/>
        </w:rPr>
        <w:t>.</w:t>
      </w:r>
      <w:r>
        <w:rPr>
          <w:rFonts w:hint="eastAsia" w:ascii="楷体" w:hAnsi="楷体" w:eastAsia="楷体" w:cs="楷体"/>
          <w:sz w:val="24"/>
        </w:rPr>
        <w:t>国家有关法律、法规、规章、政策的改变、紧急措施的出台、理财市场环境发生重大变化等导致理财产品必须提前终止的；</w:t>
      </w:r>
    </w:p>
    <w:p>
      <w:pPr>
        <w:spacing w:line="360" w:lineRule="exact"/>
        <w:ind w:firstLine="482" w:firstLineChars="201"/>
        <w:rPr>
          <w:rFonts w:hint="eastAsia" w:ascii="楷体" w:hAnsi="楷体" w:eastAsia="楷体" w:cs="楷体"/>
          <w:sz w:val="24"/>
        </w:rPr>
      </w:pPr>
      <w:r>
        <w:rPr>
          <w:rFonts w:hint="eastAsia" w:ascii="楷体" w:hAnsi="楷体" w:eastAsia="楷体" w:cs="楷体"/>
          <w:sz w:val="24"/>
        </w:rPr>
        <w:t>3</w:t>
      </w:r>
      <w:r>
        <w:rPr>
          <w:rFonts w:hint="eastAsia" w:ascii="楷体" w:hAnsi="楷体" w:eastAsia="楷体" w:cs="楷体"/>
          <w:sz w:val="24"/>
          <w:lang w:eastAsia="zh-CN"/>
        </w:rPr>
        <w:t>.</w:t>
      </w:r>
      <w:r>
        <w:rPr>
          <w:rFonts w:hint="eastAsia" w:ascii="楷体" w:hAnsi="楷体" w:eastAsia="楷体" w:cs="楷体"/>
          <w:sz w:val="24"/>
        </w:rPr>
        <w:t>因地震、火灾、战争、罢工等不可抗力因素导致本理财产品必须提前终止的；</w:t>
      </w:r>
    </w:p>
    <w:p>
      <w:pPr>
        <w:spacing w:line="360" w:lineRule="exact"/>
        <w:ind w:firstLine="482" w:firstLineChars="201"/>
        <w:rPr>
          <w:rFonts w:hint="eastAsia" w:ascii="楷体" w:hAnsi="楷体" w:eastAsia="楷体" w:cs="楷体"/>
          <w:sz w:val="24"/>
          <w:lang w:eastAsia="zh-CN"/>
        </w:rPr>
      </w:pPr>
      <w:r>
        <w:rPr>
          <w:rFonts w:hint="eastAsia" w:ascii="楷体" w:hAnsi="楷体" w:eastAsia="楷体" w:cs="楷体"/>
          <w:sz w:val="24"/>
        </w:rPr>
        <w:t>4</w:t>
      </w:r>
      <w:r>
        <w:rPr>
          <w:rFonts w:hint="eastAsia" w:ascii="楷体" w:hAnsi="楷体" w:eastAsia="楷体" w:cs="楷体"/>
          <w:sz w:val="24"/>
          <w:lang w:eastAsia="zh-CN"/>
        </w:rPr>
        <w:t>.</w:t>
      </w:r>
      <w:r>
        <w:rPr>
          <w:rFonts w:hint="eastAsia" w:ascii="楷体" w:hAnsi="楷体" w:eastAsia="楷体" w:cs="楷体"/>
          <w:sz w:val="24"/>
        </w:rPr>
        <w:t>银行认为应该提前终止本理财产品的其他情况</w:t>
      </w:r>
      <w:r>
        <w:rPr>
          <w:rFonts w:hint="eastAsia" w:ascii="楷体" w:hAnsi="楷体" w:eastAsia="楷体" w:cs="楷体"/>
          <w:sz w:val="24"/>
          <w:lang w:eastAsia="zh-CN"/>
        </w:rPr>
        <w:t>。</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（二）理财产品延期终止</w:t>
      </w:r>
    </w:p>
    <w:p>
      <w:pPr>
        <w:spacing w:line="360" w:lineRule="exact"/>
        <w:ind w:firstLine="482" w:firstLineChars="201"/>
        <w:rPr>
          <w:rFonts w:hint="eastAsia" w:ascii="楷体" w:hAnsi="楷体" w:eastAsia="楷体" w:cs="楷体"/>
          <w:sz w:val="24"/>
        </w:rPr>
      </w:pPr>
      <w:r>
        <w:rPr>
          <w:rFonts w:hint="eastAsia" w:ascii="楷体" w:hAnsi="楷体" w:eastAsia="楷体" w:cs="楷体"/>
          <w:sz w:val="24"/>
        </w:rPr>
        <w:t>在理财产品存续期内，如发生以下事项时，银行有权推迟本理财产品终止日：</w:t>
      </w:r>
    </w:p>
    <w:p>
      <w:pPr>
        <w:spacing w:line="360" w:lineRule="exact"/>
        <w:ind w:firstLine="482" w:firstLineChars="201"/>
        <w:rPr>
          <w:rFonts w:hint="eastAsia" w:ascii="楷体" w:hAnsi="楷体" w:eastAsia="楷体" w:cs="楷体"/>
          <w:sz w:val="24"/>
        </w:rPr>
      </w:pPr>
      <w:r>
        <w:rPr>
          <w:rFonts w:hint="eastAsia" w:ascii="楷体" w:hAnsi="楷体" w:eastAsia="楷体" w:cs="楷体"/>
          <w:sz w:val="24"/>
        </w:rPr>
        <w:t>1</w:t>
      </w:r>
      <w:r>
        <w:rPr>
          <w:rFonts w:hint="eastAsia" w:ascii="楷体" w:hAnsi="楷体" w:eastAsia="楷体" w:cs="楷体"/>
          <w:sz w:val="24"/>
          <w:lang w:eastAsia="zh-CN"/>
        </w:rPr>
        <w:t>.</w:t>
      </w:r>
      <w:r>
        <w:rPr>
          <w:rFonts w:hint="eastAsia" w:ascii="楷体" w:hAnsi="楷体" w:eastAsia="楷体" w:cs="楷体"/>
          <w:sz w:val="24"/>
        </w:rPr>
        <w:t>产品到期日遇非工作日，产品到期日顺延至下一工作日；</w:t>
      </w:r>
    </w:p>
    <w:p>
      <w:pPr>
        <w:spacing w:line="360" w:lineRule="exact"/>
        <w:ind w:firstLine="482" w:firstLineChars="201"/>
        <w:rPr>
          <w:rFonts w:hint="eastAsia" w:ascii="楷体" w:hAnsi="楷体" w:eastAsia="楷体" w:cs="楷体"/>
          <w:sz w:val="24"/>
        </w:rPr>
      </w:pPr>
      <w:r>
        <w:rPr>
          <w:rFonts w:hint="eastAsia" w:ascii="楷体" w:hAnsi="楷体" w:eastAsia="楷体" w:cs="楷体"/>
          <w:sz w:val="24"/>
        </w:rPr>
        <w:t>2</w:t>
      </w:r>
      <w:r>
        <w:rPr>
          <w:rFonts w:hint="eastAsia" w:ascii="楷体" w:hAnsi="楷体" w:eastAsia="楷体" w:cs="楷体"/>
          <w:sz w:val="24"/>
          <w:lang w:eastAsia="zh-CN"/>
        </w:rPr>
        <w:t>.</w:t>
      </w:r>
      <w:r>
        <w:rPr>
          <w:rFonts w:hint="eastAsia" w:ascii="楷体" w:hAnsi="楷体" w:eastAsia="楷体" w:cs="楷体"/>
          <w:sz w:val="24"/>
        </w:rPr>
        <w:t>因市场成交量不足、资产限制赎回、暂停交易、缺乏意愿交易对手等原因，导致产品所投资的资产无法及时全部变现；</w:t>
      </w:r>
    </w:p>
    <w:p>
      <w:pPr>
        <w:spacing w:line="360" w:lineRule="exact"/>
        <w:ind w:firstLine="482" w:firstLineChars="201"/>
        <w:rPr>
          <w:rFonts w:hint="eastAsia" w:ascii="楷体" w:hAnsi="楷体" w:eastAsia="楷体" w:cs="楷体"/>
          <w:sz w:val="24"/>
        </w:rPr>
      </w:pPr>
      <w:r>
        <w:rPr>
          <w:rFonts w:hint="eastAsia" w:ascii="楷体" w:hAnsi="楷体" w:eastAsia="楷体" w:cs="楷体"/>
          <w:sz w:val="24"/>
        </w:rPr>
        <w:t>3</w:t>
      </w:r>
      <w:r>
        <w:rPr>
          <w:rFonts w:hint="eastAsia" w:ascii="楷体" w:hAnsi="楷体" w:eastAsia="楷体" w:cs="楷体"/>
          <w:sz w:val="24"/>
          <w:lang w:eastAsia="zh-CN"/>
        </w:rPr>
        <w:t>.</w:t>
      </w:r>
      <w:r>
        <w:rPr>
          <w:rFonts w:hint="eastAsia" w:ascii="楷体" w:hAnsi="楷体" w:eastAsia="楷体" w:cs="楷体"/>
          <w:sz w:val="24"/>
        </w:rPr>
        <w:t>因资金在途等原因，导致未能及时收回资金；</w:t>
      </w:r>
    </w:p>
    <w:p>
      <w:pPr>
        <w:spacing w:line="360" w:lineRule="exact"/>
        <w:ind w:firstLine="482" w:firstLineChars="201"/>
        <w:rPr>
          <w:rFonts w:hint="eastAsia" w:ascii="楷体" w:hAnsi="楷体" w:eastAsia="楷体" w:cs="楷体"/>
          <w:sz w:val="24"/>
        </w:rPr>
      </w:pPr>
      <w:r>
        <w:rPr>
          <w:rFonts w:hint="eastAsia" w:ascii="楷体" w:hAnsi="楷体" w:eastAsia="楷体" w:cs="楷体"/>
          <w:sz w:val="24"/>
        </w:rPr>
        <w:t>4</w:t>
      </w:r>
      <w:r>
        <w:rPr>
          <w:rFonts w:hint="eastAsia" w:ascii="楷体" w:hAnsi="楷体" w:eastAsia="楷体" w:cs="楷体"/>
          <w:sz w:val="24"/>
          <w:lang w:eastAsia="zh-CN"/>
        </w:rPr>
        <w:t>.</w:t>
      </w:r>
      <w:r>
        <w:rPr>
          <w:rFonts w:hint="eastAsia" w:ascii="楷体" w:hAnsi="楷体" w:eastAsia="楷体" w:cs="楷体"/>
          <w:sz w:val="24"/>
        </w:rPr>
        <w:t>因地震、火灾、战争、罢工等不可抗力因素导致本理财产品必须延期终止的；</w:t>
      </w:r>
    </w:p>
    <w:p>
      <w:pPr>
        <w:spacing w:line="360" w:lineRule="exact"/>
        <w:ind w:firstLine="482" w:firstLineChars="201"/>
        <w:rPr>
          <w:rFonts w:hint="eastAsia" w:ascii="楷体" w:hAnsi="楷体" w:eastAsia="楷体" w:cs="楷体"/>
          <w:sz w:val="24"/>
          <w:lang w:eastAsia="zh-CN"/>
        </w:rPr>
      </w:pPr>
      <w:r>
        <w:rPr>
          <w:rFonts w:hint="eastAsia" w:ascii="楷体" w:hAnsi="楷体" w:eastAsia="楷体" w:cs="楷体"/>
          <w:sz w:val="24"/>
        </w:rPr>
        <w:t>5</w:t>
      </w:r>
      <w:r>
        <w:rPr>
          <w:rFonts w:hint="eastAsia" w:ascii="楷体" w:hAnsi="楷体" w:eastAsia="楷体" w:cs="楷体"/>
          <w:sz w:val="24"/>
          <w:lang w:eastAsia="zh-CN"/>
        </w:rPr>
        <w:t>.</w:t>
      </w:r>
      <w:r>
        <w:rPr>
          <w:rFonts w:hint="eastAsia" w:ascii="楷体" w:hAnsi="楷体" w:eastAsia="楷体" w:cs="楷体"/>
          <w:sz w:val="24"/>
        </w:rPr>
        <w:t>银行认为应该延期终止本理财产品的其他情况</w:t>
      </w:r>
      <w:r>
        <w:rPr>
          <w:rFonts w:hint="eastAsia" w:ascii="楷体" w:hAnsi="楷体" w:eastAsia="楷体" w:cs="楷体"/>
          <w:sz w:val="24"/>
          <w:lang w:eastAsia="zh-CN"/>
        </w:rPr>
        <w:t>。</w:t>
      </w:r>
    </w:p>
    <w:p>
      <w:pPr>
        <w:autoSpaceDE w:val="0"/>
        <w:autoSpaceDN w:val="0"/>
        <w:adjustRightInd w:val="0"/>
        <w:spacing w:line="360" w:lineRule="exact"/>
        <w:ind w:firstLine="480" w:firstLineChars="200"/>
        <w:rPr>
          <w:rFonts w:hint="eastAsia" w:ascii="楷体" w:hAnsi="楷体" w:eastAsia="楷体" w:cs="楷体"/>
          <w:sz w:val="24"/>
        </w:rPr>
      </w:pPr>
      <w:r>
        <w:rPr>
          <w:rFonts w:hint="eastAsia" w:ascii="楷体" w:hAnsi="楷体" w:eastAsia="楷体" w:cs="楷体"/>
          <w:sz w:val="24"/>
        </w:rPr>
        <w:t>（三）理财产品终止清算</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产品终止，应当按照法律法规和本产品说明书的有关规定对产品资产进行清算。</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1</w:t>
      </w:r>
      <w:r>
        <w:rPr>
          <w:rFonts w:hint="eastAsia" w:ascii="楷体" w:hAnsi="楷体" w:eastAsia="楷体" w:cs="楷体"/>
          <w:sz w:val="24"/>
          <w:lang w:eastAsia="zh-CN"/>
        </w:rPr>
        <w:t>.</w:t>
      </w:r>
      <w:r>
        <w:rPr>
          <w:rFonts w:hint="eastAsia" w:ascii="楷体" w:hAnsi="楷体" w:eastAsia="楷体" w:cs="楷体"/>
          <w:sz w:val="24"/>
        </w:rPr>
        <w:t>清算程序</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（1）产品终止后，由管理人和产品托管人共同组成资产清算组；</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（2）产品资产清算组根据产品资产的情况确定清算期限，清算最长期限不得超过5个工作日，清算期超过5日的，银行将在理财产品终止前，通过网站向投资者进行披露</w:t>
      </w:r>
      <w:r>
        <w:rPr>
          <w:rFonts w:hint="eastAsia" w:ascii="楷体" w:hAnsi="楷体" w:eastAsia="楷体" w:cs="楷体"/>
          <w:sz w:val="24"/>
          <w:lang w:eastAsia="zh-CN"/>
        </w:rPr>
        <w:t>；</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（3）产品资产清算组对产品资产进行清理和确认；</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（4）对产品资产进行评估和变现；</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（5）公布产品清算公告；</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（6）对产品资产进行分配。</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2</w:t>
      </w:r>
      <w:r>
        <w:rPr>
          <w:rFonts w:hint="eastAsia" w:ascii="楷体" w:hAnsi="楷体" w:eastAsia="楷体" w:cs="楷体"/>
          <w:sz w:val="24"/>
          <w:lang w:eastAsia="zh-CN"/>
        </w:rPr>
        <w:t>.</w:t>
      </w:r>
      <w:r>
        <w:rPr>
          <w:rFonts w:hint="eastAsia" w:ascii="楷体" w:hAnsi="楷体" w:eastAsia="楷体" w:cs="楷体"/>
          <w:sz w:val="24"/>
        </w:rPr>
        <w:t>清算费用</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分别按照实际发生费用从产品资产中列支。</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3</w:t>
      </w:r>
      <w:r>
        <w:rPr>
          <w:rFonts w:hint="eastAsia" w:ascii="楷体" w:hAnsi="楷体" w:eastAsia="楷体" w:cs="楷体"/>
          <w:sz w:val="24"/>
          <w:lang w:eastAsia="zh-CN"/>
        </w:rPr>
        <w:t>.</w:t>
      </w:r>
      <w:r>
        <w:rPr>
          <w:rFonts w:hint="eastAsia" w:ascii="楷体" w:hAnsi="楷体" w:eastAsia="楷体" w:cs="楷体"/>
          <w:sz w:val="24"/>
        </w:rPr>
        <w:t>产品资产清算剩余资产的分配</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产品资产按下列顺序清偿：</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（1）支付清算费用；</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（2）交纳所欠税款；</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（3）清偿产品债务；</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（4）按产品份额持有人持有的产品份额比例进行分配。</w:t>
      </w:r>
    </w:p>
    <w:p>
      <w:pPr>
        <w:autoSpaceDE w:val="0"/>
        <w:autoSpaceDN w:val="0"/>
        <w:adjustRightInd w:val="0"/>
        <w:spacing w:line="360" w:lineRule="exact"/>
        <w:ind w:firstLine="482" w:firstLineChars="201"/>
        <w:rPr>
          <w:rFonts w:hint="eastAsia" w:ascii="楷体" w:hAnsi="楷体" w:eastAsia="楷体" w:cs="楷体"/>
          <w:sz w:val="24"/>
        </w:rPr>
      </w:pPr>
      <w:r>
        <w:rPr>
          <w:rFonts w:hint="eastAsia" w:ascii="楷体" w:hAnsi="楷体" w:eastAsia="楷体" w:cs="楷体"/>
          <w:sz w:val="24"/>
        </w:rPr>
        <w:t>产品资产未按前款（1）至（3）项规定清偿前，不分配给产品份额持有人。</w:t>
      </w:r>
    </w:p>
    <w:p>
      <w:pPr>
        <w:spacing w:line="360" w:lineRule="exact"/>
        <w:ind w:firstLine="0" w:firstLineChars="0"/>
        <w:rPr>
          <w:rFonts w:hint="eastAsia" w:ascii="楷体" w:hAnsi="楷体" w:eastAsia="楷体" w:cs="楷体"/>
          <w:color w:val="000000"/>
          <w:sz w:val="24"/>
          <w:szCs w:val="24"/>
          <w:lang w:val="en-US"/>
        </w:rPr>
      </w:pPr>
    </w:p>
    <w:p>
      <w:pPr>
        <w:numPr>
          <w:ilvl w:val="0"/>
          <w:numId w:val="0"/>
        </w:numPr>
        <w:spacing w:line="360" w:lineRule="exact"/>
        <w:ind w:firstLine="605" w:firstLineChars="201"/>
        <w:rPr>
          <w:rFonts w:hint="eastAsia" w:ascii="楷体" w:hAnsi="楷体" w:eastAsia="楷体" w:cs="楷体"/>
          <w:b/>
          <w:bCs/>
          <w:color w:val="000000"/>
          <w:sz w:val="30"/>
          <w:szCs w:val="30"/>
          <w:lang w:val="en-US"/>
        </w:rPr>
      </w:pPr>
      <w:r>
        <w:rPr>
          <w:rFonts w:hint="eastAsia" w:ascii="楷体" w:hAnsi="楷体" w:eastAsia="楷体" w:cs="楷体"/>
          <w:b/>
          <w:bCs/>
          <w:color w:val="000000"/>
          <w:sz w:val="30"/>
          <w:szCs w:val="30"/>
          <w:lang w:val="en-US" w:eastAsia="zh-CN"/>
        </w:rPr>
        <w:t>十</w:t>
      </w:r>
      <w:r>
        <w:rPr>
          <w:rFonts w:hint="eastAsia" w:ascii="楷体" w:hAnsi="楷体" w:eastAsia="楷体" w:cs="楷体"/>
          <w:b/>
          <w:bCs/>
          <w:color w:val="000000"/>
          <w:sz w:val="30"/>
          <w:szCs w:val="30"/>
          <w:lang w:val="en-US"/>
        </w:rPr>
        <w:t>、免责条款</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（一）投资者所能获得的最终收益以所投资财产最终清算的投资者可得收益为准。</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（二）本</w:t>
      </w:r>
      <w:r>
        <w:rPr>
          <w:rFonts w:hint="eastAsia" w:ascii="楷体" w:hAnsi="楷体" w:eastAsia="楷体" w:cs="楷体"/>
          <w:color w:val="000000"/>
          <w:sz w:val="24"/>
          <w:szCs w:val="24"/>
          <w:lang w:val="en-US" w:eastAsia="zh-CN"/>
        </w:rPr>
        <w:t>理财产品</w:t>
      </w:r>
      <w:r>
        <w:rPr>
          <w:rFonts w:hint="eastAsia" w:ascii="楷体" w:hAnsi="楷体" w:eastAsia="楷体" w:cs="楷体"/>
          <w:color w:val="000000"/>
          <w:sz w:val="24"/>
          <w:szCs w:val="24"/>
          <w:lang w:val="en-US"/>
        </w:rPr>
        <w:t>面临的风险包括信用风险、市场风险、流动性风险、提前终止风险、</w:t>
      </w:r>
      <w:r>
        <w:rPr>
          <w:rFonts w:hint="eastAsia" w:ascii="楷体" w:hAnsi="楷体" w:eastAsia="楷体" w:cs="楷体"/>
          <w:color w:val="000000"/>
          <w:sz w:val="24"/>
          <w:szCs w:val="24"/>
          <w:lang w:val="en-US" w:eastAsia="zh-CN"/>
        </w:rPr>
        <w:t>变现和</w:t>
      </w:r>
      <w:r>
        <w:rPr>
          <w:rFonts w:hint="eastAsia" w:ascii="楷体" w:hAnsi="楷体" w:eastAsia="楷体" w:cs="楷体"/>
          <w:color w:val="000000"/>
          <w:sz w:val="24"/>
          <w:szCs w:val="24"/>
          <w:lang w:val="en-US"/>
        </w:rPr>
        <w:t>延期风险等，将可能导致投资者收益蒙受部分或全部损失。由此产生的理财本金及收益损失的风险由投资者自行承担，张家港农村商业银行不承担任何理财收益相关的保证责任。</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（三）张家港农村商业银行将恪守勤勉尽责的原则，合理配置资产组合，为投资者提供专业化的理财服务。但本产品为净值型理财产品，业绩比较基准不等于实际收益率，银行不保证客户本金和收益，银行发行本</w:t>
      </w:r>
      <w:r>
        <w:rPr>
          <w:rFonts w:hint="eastAsia" w:ascii="楷体" w:hAnsi="楷体" w:eastAsia="楷体" w:cs="楷体"/>
          <w:color w:val="000000"/>
          <w:sz w:val="24"/>
          <w:szCs w:val="24"/>
          <w:lang w:val="en-US" w:eastAsia="zh-CN"/>
        </w:rPr>
        <w:t>理财产品</w:t>
      </w:r>
      <w:r>
        <w:rPr>
          <w:rFonts w:hint="eastAsia" w:ascii="楷体" w:hAnsi="楷体" w:eastAsia="楷体" w:cs="楷体"/>
          <w:color w:val="000000"/>
          <w:sz w:val="24"/>
          <w:szCs w:val="24"/>
          <w:lang w:val="en-US"/>
        </w:rPr>
        <w:t>不代表对本产品所投资资产的发行人或融资主体按约定履约的可能性做出任何承诺或保证。</w:t>
      </w:r>
    </w:p>
    <w:p>
      <w:pPr>
        <w:spacing w:line="360" w:lineRule="exact"/>
        <w:ind w:firstLine="482" w:firstLineChars="201"/>
        <w:rPr>
          <w:rFonts w:hint="eastAsia" w:ascii="楷体" w:hAnsi="楷体" w:eastAsia="楷体" w:cs="楷体"/>
          <w:color w:val="000000"/>
          <w:sz w:val="24"/>
          <w:lang w:val="en-US"/>
        </w:rPr>
      </w:pPr>
    </w:p>
    <w:p>
      <w:pPr>
        <w:numPr>
          <w:ilvl w:val="0"/>
          <w:numId w:val="0"/>
        </w:numPr>
        <w:spacing w:line="360" w:lineRule="exact"/>
        <w:ind w:firstLine="605" w:firstLineChars="201"/>
        <w:rPr>
          <w:rFonts w:hint="eastAsia" w:ascii="楷体" w:hAnsi="楷体" w:eastAsia="楷体" w:cs="楷体"/>
          <w:b/>
          <w:bCs/>
          <w:color w:val="000000"/>
          <w:sz w:val="30"/>
          <w:szCs w:val="30"/>
          <w:lang w:val="en-US"/>
        </w:rPr>
      </w:pPr>
      <w:r>
        <w:rPr>
          <w:rFonts w:hint="eastAsia" w:ascii="楷体" w:hAnsi="楷体" w:eastAsia="楷体" w:cs="楷体"/>
          <w:b/>
          <w:bCs/>
          <w:color w:val="000000"/>
          <w:sz w:val="30"/>
          <w:szCs w:val="30"/>
          <w:lang w:val="en-US"/>
        </w:rPr>
        <w:t>十</w:t>
      </w:r>
      <w:r>
        <w:rPr>
          <w:rFonts w:hint="eastAsia" w:ascii="楷体" w:hAnsi="楷体" w:eastAsia="楷体" w:cs="楷体"/>
          <w:b/>
          <w:bCs/>
          <w:color w:val="000000"/>
          <w:sz w:val="30"/>
          <w:szCs w:val="30"/>
          <w:lang w:val="en-US" w:eastAsia="zh-CN"/>
        </w:rPr>
        <w:t>一</w:t>
      </w:r>
      <w:r>
        <w:rPr>
          <w:rFonts w:hint="eastAsia" w:ascii="楷体" w:hAnsi="楷体" w:eastAsia="楷体" w:cs="楷体"/>
          <w:b/>
          <w:bCs/>
          <w:color w:val="000000"/>
          <w:sz w:val="30"/>
          <w:szCs w:val="30"/>
          <w:lang w:val="en-US"/>
        </w:rPr>
        <w:t>、特别提示</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（一）</w:t>
      </w:r>
      <w:r>
        <w:rPr>
          <w:rFonts w:hint="eastAsia" w:ascii="楷体" w:hAnsi="楷体" w:eastAsia="楷体" w:cs="楷体"/>
          <w:sz w:val="24"/>
        </w:rPr>
        <w:t>本说明书及风险揭示书所述客户等级、风险等级、适合投资者类型和风险承受能力评级等均为理财行根据其内部评定标准自行确定，仅供投资者参考；但是投资者风险承受能力评级不符合投资者适当性原则要求的，将不能认购本产品。</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（二）请投资者根据自己的风险承受能力购买适合的理财产品，并接受理财行定期或不定期进行的风险承受能力持续评估。</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（三）</w:t>
      </w:r>
      <w:r>
        <w:rPr>
          <w:rFonts w:hint="eastAsia" w:ascii="楷体" w:hAnsi="楷体" w:eastAsia="楷体" w:cs="楷体"/>
          <w:sz w:val="24"/>
        </w:rPr>
        <w:t>本说明书所述产品存续期受提前终止等相关条款和内容的约束，且</w:t>
      </w:r>
      <w:r>
        <w:rPr>
          <w:rFonts w:hint="eastAsia" w:ascii="楷体" w:hAnsi="楷体" w:eastAsia="楷体" w:cs="楷体"/>
          <w:sz w:val="24"/>
          <w:lang w:eastAsia="zh-CN"/>
        </w:rPr>
        <w:t>本行</w:t>
      </w:r>
      <w:r>
        <w:rPr>
          <w:rFonts w:hint="eastAsia" w:ascii="楷体" w:hAnsi="楷体" w:eastAsia="楷体" w:cs="楷体"/>
          <w:sz w:val="24"/>
        </w:rPr>
        <w:t>有权自行确定本产品的募集规模、募集区域、募集范围、存续规模、</w:t>
      </w:r>
      <w:r>
        <w:rPr>
          <w:rFonts w:hint="eastAsia" w:ascii="楷体" w:hAnsi="楷体" w:eastAsia="楷体" w:cs="楷体"/>
          <w:sz w:val="24"/>
          <w:lang w:val="en-US" w:eastAsia="zh-CN"/>
        </w:rPr>
        <w:t>产品</w:t>
      </w:r>
      <w:r>
        <w:rPr>
          <w:rFonts w:hint="eastAsia" w:ascii="楷体" w:hAnsi="楷体" w:eastAsia="楷体" w:cs="楷体"/>
          <w:sz w:val="24"/>
        </w:rPr>
        <w:t>开放期、</w:t>
      </w:r>
      <w:r>
        <w:rPr>
          <w:rFonts w:hint="eastAsia" w:ascii="楷体" w:hAnsi="楷体" w:eastAsia="楷体" w:cs="楷体"/>
          <w:sz w:val="24"/>
          <w:lang w:val="en-US" w:eastAsia="zh-CN"/>
        </w:rPr>
        <w:t>存续期限、产品到期</w:t>
      </w:r>
      <w:r>
        <w:rPr>
          <w:rFonts w:hint="eastAsia" w:ascii="楷体" w:hAnsi="楷体" w:eastAsia="楷体" w:cs="楷体"/>
          <w:sz w:val="24"/>
        </w:rPr>
        <w:t>日等相关产品要素，并有权根据实际情况自行进行调整。</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（四）</w:t>
      </w:r>
      <w:r>
        <w:rPr>
          <w:rFonts w:hint="eastAsia" w:ascii="楷体" w:hAnsi="楷体" w:eastAsia="楷体" w:cs="楷体"/>
          <w:sz w:val="24"/>
          <w:szCs w:val="24"/>
          <w:highlight w:val="none"/>
        </w:rPr>
        <w:t>投资者在购买本期理财产品前应仔细阅读</w:t>
      </w:r>
      <w:r>
        <w:rPr>
          <w:rFonts w:hint="eastAsia" w:ascii="楷体" w:hAnsi="楷体" w:eastAsia="楷体" w:cs="楷体"/>
          <w:b/>
          <w:bCs/>
          <w:sz w:val="24"/>
          <w:szCs w:val="24"/>
          <w:highlight w:val="none"/>
          <w:lang w:val="en-US" w:eastAsia="zh-CN"/>
        </w:rPr>
        <w:t>《理财</w:t>
      </w:r>
      <w:r>
        <w:rPr>
          <w:rFonts w:hint="eastAsia" w:ascii="楷体" w:hAnsi="楷体" w:eastAsia="楷体" w:cs="楷体"/>
          <w:b/>
          <w:bCs/>
          <w:sz w:val="24"/>
          <w:szCs w:val="24"/>
          <w:highlight w:val="none"/>
        </w:rPr>
        <w:t>产品说明书</w:t>
      </w:r>
      <w:r>
        <w:rPr>
          <w:rFonts w:hint="eastAsia" w:ascii="楷体" w:hAnsi="楷体" w:eastAsia="楷体" w:cs="楷体"/>
          <w:b/>
          <w:bCs/>
          <w:sz w:val="24"/>
          <w:szCs w:val="24"/>
          <w:highlight w:val="none"/>
          <w:lang w:eastAsia="zh-CN"/>
        </w:rPr>
        <w:t>》</w:t>
      </w:r>
      <w:r>
        <w:rPr>
          <w:rFonts w:hint="eastAsia" w:ascii="楷体" w:hAnsi="楷体" w:eastAsia="楷体" w:cs="楷体"/>
          <w:b/>
          <w:bCs/>
          <w:sz w:val="24"/>
          <w:szCs w:val="24"/>
          <w:highlight w:val="none"/>
        </w:rPr>
        <w:t>、</w:t>
      </w:r>
      <w:r>
        <w:rPr>
          <w:rFonts w:hint="eastAsia" w:ascii="楷体" w:hAnsi="楷体" w:eastAsia="楷体" w:cs="楷体"/>
          <w:b/>
          <w:bCs/>
          <w:sz w:val="24"/>
          <w:szCs w:val="24"/>
          <w:highlight w:val="none"/>
          <w:lang w:eastAsia="zh-CN"/>
        </w:rPr>
        <w:t>《</w:t>
      </w:r>
      <w:r>
        <w:rPr>
          <w:rFonts w:hint="eastAsia" w:ascii="楷体" w:hAnsi="楷体" w:eastAsia="楷体" w:cs="楷体"/>
          <w:b/>
          <w:bCs/>
          <w:sz w:val="24"/>
          <w:szCs w:val="24"/>
          <w:highlight w:val="none"/>
          <w:lang w:val="en-US" w:eastAsia="zh-CN"/>
        </w:rPr>
        <w:t>理财产品</w:t>
      </w:r>
      <w:r>
        <w:rPr>
          <w:rFonts w:hint="eastAsia" w:ascii="楷体" w:hAnsi="楷体" w:eastAsia="楷体" w:cs="楷体"/>
          <w:b/>
          <w:bCs/>
          <w:sz w:val="24"/>
          <w:szCs w:val="24"/>
          <w:highlight w:val="none"/>
          <w:lang w:eastAsia="zh-CN"/>
        </w:rPr>
        <w:t>投资协议书》、《</w:t>
      </w:r>
      <w:r>
        <w:rPr>
          <w:rFonts w:hint="eastAsia" w:ascii="楷体" w:hAnsi="楷体" w:eastAsia="楷体" w:cs="楷体"/>
          <w:b/>
          <w:bCs/>
          <w:sz w:val="24"/>
          <w:szCs w:val="24"/>
          <w:highlight w:val="none"/>
          <w:lang w:val="en-US" w:eastAsia="zh-CN"/>
        </w:rPr>
        <w:t>理财产品</w:t>
      </w:r>
      <w:r>
        <w:rPr>
          <w:rFonts w:hint="eastAsia" w:ascii="楷体" w:hAnsi="楷体" w:eastAsia="楷体" w:cs="楷体"/>
          <w:b/>
          <w:bCs/>
          <w:sz w:val="24"/>
          <w:szCs w:val="24"/>
          <w:highlight w:val="none"/>
          <w:lang w:eastAsia="zh-CN"/>
        </w:rPr>
        <w:t>销售协议书》、《</w:t>
      </w:r>
      <w:r>
        <w:rPr>
          <w:rFonts w:hint="eastAsia" w:ascii="楷体" w:hAnsi="楷体" w:eastAsia="楷体" w:cs="楷体"/>
          <w:b/>
          <w:bCs/>
          <w:sz w:val="24"/>
          <w:szCs w:val="24"/>
          <w:highlight w:val="none"/>
        </w:rPr>
        <w:t>风险揭示书</w:t>
      </w:r>
      <w:r>
        <w:rPr>
          <w:rFonts w:hint="eastAsia" w:ascii="楷体" w:hAnsi="楷体" w:eastAsia="楷体" w:cs="楷体"/>
          <w:b/>
          <w:bCs/>
          <w:sz w:val="24"/>
          <w:szCs w:val="24"/>
          <w:highlight w:val="none"/>
          <w:lang w:eastAsia="zh-CN"/>
        </w:rPr>
        <w:t>》</w:t>
      </w:r>
      <w:r>
        <w:rPr>
          <w:rFonts w:hint="eastAsia" w:ascii="楷体" w:hAnsi="楷体" w:eastAsia="楷体" w:cs="楷体"/>
          <w:b/>
          <w:bCs/>
          <w:sz w:val="24"/>
          <w:szCs w:val="24"/>
          <w:highlight w:val="none"/>
        </w:rPr>
        <w:t>、</w:t>
      </w:r>
      <w:r>
        <w:rPr>
          <w:rFonts w:hint="eastAsia" w:ascii="楷体" w:hAnsi="楷体" w:eastAsia="楷体" w:cs="楷体"/>
          <w:b/>
          <w:bCs/>
          <w:sz w:val="24"/>
          <w:szCs w:val="24"/>
          <w:highlight w:val="none"/>
          <w:lang w:eastAsia="zh-CN"/>
        </w:rPr>
        <w:t>《投资者</w:t>
      </w:r>
      <w:r>
        <w:rPr>
          <w:rFonts w:hint="eastAsia" w:ascii="楷体" w:hAnsi="楷体" w:eastAsia="楷体" w:cs="楷体"/>
          <w:b/>
          <w:bCs/>
          <w:sz w:val="24"/>
          <w:szCs w:val="24"/>
          <w:highlight w:val="none"/>
        </w:rPr>
        <w:t>权益须知</w:t>
      </w:r>
      <w:r>
        <w:rPr>
          <w:rFonts w:hint="eastAsia" w:ascii="楷体" w:hAnsi="楷体" w:eastAsia="楷体" w:cs="楷体"/>
          <w:b/>
          <w:bCs/>
          <w:sz w:val="24"/>
          <w:szCs w:val="24"/>
          <w:highlight w:val="none"/>
          <w:lang w:eastAsia="zh-CN"/>
        </w:rPr>
        <w:t>》</w:t>
      </w:r>
      <w:r>
        <w:rPr>
          <w:rFonts w:hint="eastAsia" w:ascii="楷体" w:hAnsi="楷体" w:eastAsia="楷体" w:cs="楷体"/>
          <w:b/>
          <w:bCs/>
          <w:sz w:val="24"/>
          <w:szCs w:val="24"/>
          <w:highlight w:val="none"/>
        </w:rPr>
        <w:t>等销售文件，</w:t>
      </w:r>
      <w:r>
        <w:rPr>
          <w:rFonts w:hint="eastAsia" w:ascii="楷体" w:hAnsi="楷体" w:eastAsia="楷体" w:cs="楷体"/>
          <w:b/>
          <w:bCs/>
          <w:sz w:val="24"/>
          <w:szCs w:val="24"/>
          <w:highlight w:val="none"/>
          <w:lang w:eastAsia="zh-CN"/>
        </w:rPr>
        <w:t>确保完全明白该项投资的性质和所涉及的风险，详细了解和审慎评估该理财产品的资金投资方向、风险类型和收益等基本情况，在慎重考虑后自行决定购买与自身风险承受能力和资产管理需求匹配的理财产品。</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（五）理财产品到期时，若投资者未办理赎回手续，则银行对投资者持有本理财产品进行强制赎回，赎回款项=确认赎回份额*产品到期确认日理财产品净值（</w:t>
      </w:r>
      <w:r>
        <w:rPr>
          <w:rFonts w:hint="eastAsia" w:ascii="楷体" w:hAnsi="楷体" w:eastAsia="楷体" w:cs="楷体"/>
          <w:color w:val="000000"/>
          <w:sz w:val="24"/>
          <w:szCs w:val="24"/>
          <w:lang w:val="en-US" w:eastAsia="zh-CN"/>
        </w:rPr>
        <w:t>产品净值</w:t>
      </w:r>
      <w:r>
        <w:rPr>
          <w:rFonts w:hint="eastAsia" w:ascii="楷体" w:hAnsi="楷体" w:eastAsia="楷体" w:cs="楷体"/>
          <w:color w:val="000000"/>
          <w:sz w:val="24"/>
          <w:szCs w:val="24"/>
          <w:lang w:val="en-US"/>
        </w:rPr>
        <w:t>已扣除相关费用</w:t>
      </w:r>
      <w:r>
        <w:rPr>
          <w:rFonts w:hint="eastAsia" w:ascii="楷体" w:hAnsi="楷体" w:eastAsia="楷体" w:cs="楷体"/>
          <w:color w:val="000000"/>
          <w:sz w:val="24"/>
          <w:szCs w:val="24"/>
          <w:lang w:val="en-US" w:eastAsia="zh-CN"/>
        </w:rPr>
        <w:t>，</w:t>
      </w:r>
      <w:r>
        <w:rPr>
          <w:rFonts w:hint="eastAsia" w:ascii="楷体" w:hAnsi="楷体" w:eastAsia="楷体" w:cs="楷体"/>
          <w:color w:val="000000"/>
          <w:sz w:val="24"/>
          <w:szCs w:val="24"/>
          <w:lang w:val="en-US"/>
        </w:rPr>
        <w:t>赎回款项保留两位小数）。</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（六）</w:t>
      </w:r>
      <w:r>
        <w:rPr>
          <w:rFonts w:hint="eastAsia" w:ascii="楷体" w:hAnsi="楷体" w:eastAsia="楷体" w:cs="楷体"/>
          <w:color w:val="000000"/>
          <w:sz w:val="24"/>
          <w:szCs w:val="24"/>
          <w:lang w:val="en-US" w:eastAsia="zh-CN"/>
        </w:rPr>
        <w:t>理财产品</w:t>
      </w:r>
      <w:r>
        <w:rPr>
          <w:rFonts w:hint="eastAsia" w:ascii="楷体" w:hAnsi="楷体" w:eastAsia="楷体" w:cs="楷体"/>
          <w:color w:val="000000"/>
          <w:sz w:val="24"/>
          <w:szCs w:val="24"/>
          <w:lang w:val="en-US"/>
        </w:rPr>
        <w:t>到期日至投资者资金到账日之间不计利息和投资收益。</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lang w:val="en-US"/>
        </w:rPr>
        <w:t>（七）最不利的投资情形下，</w:t>
      </w:r>
      <w:r>
        <w:rPr>
          <w:rFonts w:hint="eastAsia" w:ascii="楷体" w:hAnsi="楷体" w:eastAsia="楷体" w:cs="楷体"/>
          <w:color w:val="000000"/>
          <w:sz w:val="24"/>
          <w:szCs w:val="24"/>
          <w:lang w:val="en-US" w:eastAsia="zh-CN"/>
        </w:rPr>
        <w:t>可能</w:t>
      </w:r>
      <w:r>
        <w:rPr>
          <w:rFonts w:hint="eastAsia" w:ascii="楷体" w:hAnsi="楷体" w:eastAsia="楷体" w:cs="楷体"/>
          <w:color w:val="000000"/>
          <w:sz w:val="24"/>
          <w:szCs w:val="24"/>
          <w:lang w:val="en-US"/>
        </w:rPr>
        <w:t>导致投资者损失投资本金和理财收益。</w:t>
      </w:r>
    </w:p>
    <w:p>
      <w:pPr>
        <w:spacing w:line="360" w:lineRule="exact"/>
        <w:ind w:firstLine="482" w:firstLineChars="201"/>
        <w:rPr>
          <w:rFonts w:hint="eastAsia" w:ascii="楷体" w:hAnsi="楷体" w:eastAsia="楷体" w:cs="楷体"/>
          <w:color w:val="000000"/>
          <w:sz w:val="24"/>
          <w:szCs w:val="24"/>
          <w:lang w:val="en-US"/>
        </w:rPr>
      </w:pPr>
      <w:r>
        <w:rPr>
          <w:rFonts w:hint="eastAsia" w:ascii="楷体" w:hAnsi="楷体" w:eastAsia="楷体" w:cs="楷体"/>
          <w:color w:val="000000"/>
          <w:sz w:val="24"/>
          <w:szCs w:val="24"/>
          <w:highlight w:val="none"/>
          <w:lang w:val="en-US" w:eastAsia="zh-CN"/>
        </w:rPr>
        <w:t>（八）甲、乙双方对本协议及其条款负有保密义务，除法律法规、监管部门另有规定外，未经一方书面认可，另一方不得向任何组织、个人提供或泄漏与对方有关的资料和信息。</w:t>
      </w:r>
    </w:p>
    <w:p>
      <w:pPr>
        <w:spacing w:line="360" w:lineRule="exact"/>
        <w:ind w:firstLine="482" w:firstLineChars="201"/>
        <w:rPr>
          <w:rFonts w:hint="eastAsia" w:ascii="楷体" w:hAnsi="楷体" w:eastAsia="楷体" w:cs="楷体"/>
          <w:color w:val="000000"/>
          <w:sz w:val="24"/>
          <w:szCs w:val="24"/>
          <w:lang w:val="en-US"/>
        </w:rPr>
      </w:pPr>
    </w:p>
    <w:p>
      <w:pPr>
        <w:spacing w:line="360" w:lineRule="exact"/>
        <w:ind w:firstLine="482" w:firstLineChars="201"/>
        <w:rPr>
          <w:rFonts w:hint="eastAsia" w:ascii="楷体" w:hAnsi="楷体" w:eastAsia="楷体" w:cs="楷体"/>
          <w:color w:val="000000"/>
          <w:sz w:val="24"/>
          <w:szCs w:val="24"/>
          <w:lang w:val="en-US"/>
        </w:rPr>
      </w:pPr>
    </w:p>
    <w:tbl>
      <w:tblPr>
        <w:tblStyle w:val="4"/>
        <w:tblW w:w="10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0"/>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10375" w:type="dxa"/>
            <w:gridSpan w:val="2"/>
            <w:vAlign w:val="center"/>
          </w:tcPr>
          <w:p>
            <w:pPr>
              <w:autoSpaceDE w:val="0"/>
              <w:autoSpaceDN w:val="0"/>
              <w:adjustRightInd w:val="0"/>
              <w:spacing w:line="360" w:lineRule="exact"/>
              <w:jc w:val="left"/>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客户确认：</w:t>
            </w:r>
            <w:r>
              <w:rPr>
                <w:rFonts w:hint="eastAsia" w:ascii="楷体" w:hAnsi="楷体" w:eastAsia="楷体" w:cs="楷体"/>
                <w:b/>
                <w:bCs/>
                <w:sz w:val="24"/>
                <w:szCs w:val="24"/>
                <w:lang w:val="en-US" w:eastAsia="zh-CN"/>
              </w:rPr>
              <w:t>本人/本机构</w:t>
            </w:r>
            <w:r>
              <w:rPr>
                <w:rFonts w:hint="eastAsia" w:ascii="楷体" w:hAnsi="楷体" w:eastAsia="楷体" w:cs="楷体"/>
                <w:b/>
                <w:bCs/>
                <w:sz w:val="24"/>
                <w:szCs w:val="24"/>
                <w:highlight w:val="none"/>
              </w:rPr>
              <w:t>已阅读本说明书及</w:t>
            </w:r>
            <w:r>
              <w:rPr>
                <w:rFonts w:hint="eastAsia" w:ascii="楷体" w:hAnsi="楷体" w:eastAsia="楷体" w:cs="楷体"/>
                <w:b/>
                <w:bCs/>
                <w:sz w:val="24"/>
                <w:szCs w:val="24"/>
                <w:highlight w:val="none"/>
                <w:lang w:eastAsia="zh-CN"/>
              </w:rPr>
              <w:t>其他销售文件</w:t>
            </w:r>
            <w:r>
              <w:rPr>
                <w:rFonts w:hint="eastAsia" w:ascii="楷体" w:hAnsi="楷体" w:eastAsia="楷体" w:cs="楷体"/>
                <w:b/>
                <w:bCs/>
                <w:sz w:val="24"/>
                <w:szCs w:val="24"/>
                <w:highlight w:val="none"/>
              </w:rPr>
              <w:t>，清楚了解并知悉本产品的基本情况尤其是募集资金投资、理财收益、产品费用及特别提示等内容，已不存在任何疑问或异议。本人承诺投资资金为自有资金，未使用贷款等非自有资金认</w:t>
            </w:r>
            <w:r>
              <w:rPr>
                <w:rFonts w:hint="eastAsia" w:ascii="楷体" w:hAnsi="楷体" w:eastAsia="楷体" w:cs="楷体"/>
                <w:b/>
                <w:bCs/>
                <w:sz w:val="24"/>
                <w:szCs w:val="24"/>
                <w:highlight w:val="none"/>
                <w:lang w:val="en-US" w:eastAsia="zh-CN"/>
              </w:rPr>
              <w:t>/申</w:t>
            </w:r>
            <w:r>
              <w:rPr>
                <w:rFonts w:hint="eastAsia" w:ascii="楷体" w:hAnsi="楷体" w:eastAsia="楷体" w:cs="楷体"/>
                <w:b/>
                <w:bCs/>
                <w:sz w:val="24"/>
                <w:szCs w:val="24"/>
                <w:highlight w:val="none"/>
              </w:rPr>
              <w:t>购本理财产品。</w:t>
            </w:r>
            <w:r>
              <w:rPr>
                <w:rFonts w:hint="eastAsia" w:ascii="楷体" w:hAnsi="楷体" w:eastAsia="楷体" w:cs="楷体"/>
                <w:b/>
                <w:bCs/>
                <w:sz w:val="24"/>
                <w:szCs w:val="24"/>
                <w:highlight w:val="none"/>
                <w:lang w:val="en-US" w:eastAsia="zh-CN"/>
              </w:rPr>
              <w:t>本人不利用本理财产品和服务从事违法活动。</w:t>
            </w:r>
          </w:p>
          <w:p>
            <w:pPr>
              <w:spacing w:line="360" w:lineRule="exact"/>
              <w:rPr>
                <w:rFonts w:hint="eastAsia" w:ascii="楷体" w:hAnsi="楷体" w:eastAsia="楷体" w:cs="楷体"/>
                <w:b/>
                <w:bCs/>
                <w:color w:val="000000"/>
                <w:sz w:val="24"/>
                <w:szCs w:val="24"/>
                <w:lang w:val="en-US"/>
              </w:rPr>
            </w:pPr>
            <w:r>
              <w:rPr>
                <w:rFonts w:hint="eastAsia" w:ascii="楷体" w:hAnsi="楷体" w:eastAsia="楷体" w:cs="楷体"/>
                <w:b/>
                <w:bCs w:val="0"/>
                <w:kern w:val="2"/>
                <w:sz w:val="24"/>
                <w:szCs w:val="24"/>
                <w:highlight w:val="none"/>
                <w:lang w:val="en-US" w:eastAsia="zh-CN" w:bidi="ar"/>
              </w:rPr>
              <w:t>销售人员不存在代替本人/本机构签署销售业务相关文件，或代替本人/本机构进行风险承受能力评估、理财产品购买等操作，不存在代替本人/本机构持有或安排他人代替持有理财产品的情况。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5080" w:type="dxa"/>
            <w:vAlign w:val="center"/>
          </w:tcPr>
          <w:p>
            <w:pPr>
              <w:spacing w:line="360" w:lineRule="exact"/>
              <w:ind w:firstLine="484" w:firstLineChars="201"/>
              <w:jc w:val="left"/>
              <w:rPr>
                <w:rFonts w:hint="eastAsia" w:ascii="楷体" w:hAnsi="楷体" w:eastAsia="楷体" w:cs="楷体"/>
                <w:b/>
                <w:bCs/>
                <w:color w:val="000000"/>
                <w:sz w:val="24"/>
                <w:szCs w:val="24"/>
                <w:lang w:val="en-US"/>
              </w:rPr>
            </w:pPr>
          </w:p>
          <w:p>
            <w:pPr>
              <w:spacing w:line="360" w:lineRule="exact"/>
              <w:jc w:val="left"/>
              <w:rPr>
                <w:rFonts w:hint="eastAsia" w:ascii="楷体" w:hAnsi="楷体" w:eastAsia="楷体" w:cs="楷体"/>
                <w:b/>
                <w:bCs/>
                <w:color w:val="000000"/>
                <w:sz w:val="24"/>
                <w:szCs w:val="24"/>
                <w:lang w:val="en-US"/>
              </w:rPr>
            </w:pPr>
            <w:r>
              <w:rPr>
                <w:rFonts w:hint="eastAsia" w:ascii="楷体" w:hAnsi="楷体" w:eastAsia="楷体" w:cs="楷体"/>
                <w:b/>
                <w:bCs/>
                <w:color w:val="000000"/>
                <w:sz w:val="24"/>
                <w:szCs w:val="24"/>
                <w:lang w:val="en-US"/>
              </w:rPr>
              <w:t>销售人员签字：</w:t>
            </w:r>
          </w:p>
          <w:p>
            <w:pPr>
              <w:spacing w:line="360" w:lineRule="exact"/>
              <w:ind w:firstLine="484" w:firstLineChars="201"/>
              <w:jc w:val="left"/>
              <w:rPr>
                <w:rFonts w:hint="eastAsia" w:ascii="楷体" w:hAnsi="楷体" w:eastAsia="楷体" w:cs="楷体"/>
                <w:b/>
                <w:bCs/>
                <w:color w:val="000000"/>
                <w:sz w:val="24"/>
                <w:szCs w:val="24"/>
                <w:lang w:val="en-US"/>
              </w:rPr>
            </w:pPr>
          </w:p>
        </w:tc>
        <w:tc>
          <w:tcPr>
            <w:tcW w:w="5295" w:type="dxa"/>
            <w:vAlign w:val="center"/>
          </w:tcPr>
          <w:p>
            <w:pPr>
              <w:spacing w:line="360" w:lineRule="exact"/>
              <w:ind w:firstLine="484" w:firstLineChars="201"/>
              <w:jc w:val="left"/>
              <w:rPr>
                <w:rFonts w:hint="eastAsia" w:ascii="楷体" w:hAnsi="楷体" w:eastAsia="楷体" w:cs="楷体"/>
                <w:b/>
                <w:bCs/>
                <w:color w:val="000000"/>
                <w:sz w:val="24"/>
                <w:szCs w:val="24"/>
                <w:lang w:val="en-US"/>
              </w:rPr>
            </w:pPr>
          </w:p>
          <w:p>
            <w:pPr>
              <w:spacing w:line="360" w:lineRule="exact"/>
              <w:jc w:val="left"/>
              <w:rPr>
                <w:rFonts w:hint="eastAsia" w:ascii="楷体" w:hAnsi="楷体" w:eastAsia="楷体" w:cs="楷体"/>
                <w:b/>
                <w:bCs/>
                <w:color w:val="000000"/>
                <w:sz w:val="24"/>
                <w:szCs w:val="24"/>
                <w:lang w:val="en-US"/>
              </w:rPr>
            </w:pPr>
            <w:r>
              <w:rPr>
                <w:rFonts w:hint="eastAsia" w:ascii="楷体" w:hAnsi="楷体" w:eastAsia="楷体" w:cs="楷体"/>
                <w:b/>
                <w:bCs/>
                <w:color w:val="000000"/>
                <w:sz w:val="24"/>
                <w:szCs w:val="24"/>
                <w:lang w:val="en-US"/>
              </w:rPr>
              <w:t>客户签字：</w:t>
            </w:r>
          </w:p>
          <w:p>
            <w:pPr>
              <w:spacing w:line="360" w:lineRule="exact"/>
              <w:ind w:firstLine="484" w:firstLineChars="201"/>
              <w:jc w:val="left"/>
              <w:rPr>
                <w:rFonts w:hint="eastAsia" w:ascii="楷体" w:hAnsi="楷体" w:eastAsia="楷体" w:cs="楷体"/>
                <w:b/>
                <w:bCs/>
                <w:color w:val="000000"/>
                <w:sz w:val="24"/>
                <w:szCs w:val="24"/>
                <w:lang w:val="en-US"/>
              </w:rPr>
            </w:pPr>
          </w:p>
        </w:tc>
      </w:tr>
    </w:tbl>
    <w:p>
      <w:pPr>
        <w:ind w:firstLine="480" w:firstLineChars="200"/>
        <w:rPr>
          <w:rFonts w:hint="default"/>
          <w:color w:val="000000"/>
          <w:sz w:val="24"/>
          <w:lang w:val="en-US"/>
        </w:rPr>
      </w:pPr>
    </w:p>
    <w:p>
      <w:pPr>
        <w:autoSpaceDE w:val="0"/>
        <w:autoSpaceDN w:val="0"/>
        <w:adjustRightInd w:val="0"/>
        <w:spacing w:before="3" w:line="284" w:lineRule="auto"/>
        <w:ind w:right="494"/>
        <w:rPr>
          <w:rFonts w:hint="default" w:ascii="微软雅黑" w:hAnsi="微软雅黑" w:eastAsia="微软雅黑" w:cs="微软雅黑"/>
          <w:color w:val="000000"/>
          <w:sz w:val="24"/>
          <w:szCs w:val="24"/>
          <w:lang w:val="en-US"/>
        </w:rPr>
      </w:pPr>
    </w:p>
    <w:p>
      <w:pPr>
        <w:autoSpaceDE w:val="0"/>
        <w:autoSpaceDN w:val="0"/>
        <w:adjustRightInd w:val="0"/>
        <w:spacing w:before="3" w:line="284" w:lineRule="auto"/>
        <w:ind w:left="220" w:right="494" w:firstLine="480" w:firstLineChars="200"/>
        <w:rPr>
          <w:rFonts w:hint="default" w:ascii="微软雅黑" w:hAnsi="微软雅黑" w:eastAsia="微软雅黑" w:cs="微软雅黑"/>
          <w:color w:val="000000"/>
          <w:sz w:val="24"/>
          <w:szCs w:val="24"/>
          <w:lang w:val="en-US"/>
        </w:rPr>
      </w:pPr>
    </w:p>
    <w:p>
      <w:pPr>
        <w:autoSpaceDE w:val="0"/>
        <w:autoSpaceDN w:val="0"/>
        <w:adjustRightInd w:val="0"/>
        <w:spacing w:before="3" w:line="284" w:lineRule="auto"/>
        <w:ind w:left="0" w:right="494" w:firstLine="0" w:firstLineChars="0"/>
        <w:rPr>
          <w:rFonts w:hint="default" w:ascii="微软雅黑" w:hAnsi="微软雅黑" w:eastAsia="微软雅黑" w:cs="微软雅黑"/>
          <w:color w:val="000000"/>
          <w:sz w:val="24"/>
          <w:szCs w:val="24"/>
          <w:lang w:val="en-US"/>
        </w:rPr>
      </w:pPr>
    </w:p>
    <w:p>
      <w:pPr>
        <w:autoSpaceDE w:val="0"/>
        <w:autoSpaceDN w:val="0"/>
        <w:adjustRightInd w:val="0"/>
        <w:spacing w:before="3" w:line="284" w:lineRule="auto"/>
        <w:ind w:left="220" w:right="494" w:firstLine="480" w:firstLineChars="200"/>
        <w:rPr>
          <w:rFonts w:hint="default" w:ascii="微软雅黑" w:hAnsi="微软雅黑" w:eastAsia="微软雅黑" w:cs="微软雅黑"/>
          <w:color w:val="000000"/>
          <w:sz w:val="24"/>
          <w:szCs w:val="24"/>
          <w:lang w:val="en-US"/>
        </w:rPr>
      </w:pPr>
    </w:p>
    <w:p>
      <w:pPr>
        <w:autoSpaceDE w:val="0"/>
        <w:autoSpaceDN w:val="0"/>
        <w:adjustRightInd w:val="0"/>
        <w:spacing w:before="3" w:line="284" w:lineRule="auto"/>
        <w:ind w:left="220" w:right="494" w:firstLine="480" w:firstLineChars="200"/>
        <w:rPr>
          <w:rFonts w:hint="default" w:ascii="微软雅黑" w:hAnsi="微软雅黑" w:eastAsia="微软雅黑" w:cs="微软雅黑"/>
          <w:color w:val="000000"/>
          <w:sz w:val="24"/>
          <w:szCs w:val="24"/>
          <w:lang w:val="en-US"/>
        </w:rPr>
      </w:pPr>
    </w:p>
    <w:p>
      <w:pPr>
        <w:rPr>
          <w:rFonts w:hint="eastAsia" w:ascii="微软雅黑" w:hAnsi="微软雅黑" w:eastAsia="微软雅黑" w:cs="微软雅黑"/>
          <w:color w:val="000000"/>
          <w:sz w:val="13"/>
          <w:szCs w:val="13"/>
          <w:lang w:val="en-US" w:eastAsia="zh-CN"/>
        </w:rPr>
      </w:pPr>
    </w:p>
    <w:p/>
    <w:sectPr>
      <w:headerReference r:id="rId3" w:type="default"/>
      <w:pgSz w:w="11907" w:h="16840"/>
      <w:pgMar w:top="737" w:right="850" w:bottom="170" w:left="850" w:header="533" w:footer="0" w:gutter="0"/>
      <w:pgNumType w:start="1"/>
      <w:cols w:space="720" w:num="1"/>
      <w:docGrid w:linePitch="6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0"/>
      </w:pBdr>
      <w:jc w:val="right"/>
      <w:rPr>
        <w:rFonts w:ascii="方正书宋简体" w:eastAsia="方正书宋简体"/>
        <w:i/>
      </w:rPr>
    </w:pPr>
    <w:r>
      <w:rPr>
        <w:rFonts w:hint="eastAsia" w:ascii="黑体" w:hAnsi="黑体" w:eastAsia="黑体" w:cs="黑体"/>
        <w:i/>
        <w:sz w:val="24"/>
        <w:szCs w:val="24"/>
      </w:rPr>
      <w:t>理财非存款、产品有风险、投资</w:t>
    </w:r>
    <w:r>
      <w:rPr>
        <w:rFonts w:hint="eastAsia" w:ascii="黑体" w:hAnsi="黑体" w:eastAsia="黑体" w:cs="黑体"/>
        <w:i/>
        <w:sz w:val="24"/>
        <w:szCs w:val="24"/>
        <w:lang w:eastAsia="zh-CN"/>
      </w:rPr>
      <w:t>须谨慎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5"/>
      <w:numFmt w:val="chineseCounting"/>
      <w:suff w:val="nothing"/>
      <w:lvlText w:val="%1、"/>
      <w:lvlJc w:val="left"/>
      <w:rPr>
        <w:rFonts w:hint="eastAsia"/>
      </w:rPr>
    </w:lvl>
  </w:abstractNum>
  <w:abstractNum w:abstractNumId="1">
    <w:nsid w:val="0000000D"/>
    <w:multiLevelType w:val="singleLevel"/>
    <w:tmpl w:val="0000000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MGY3ZTNjN2UwN2FmYjViOTZlODcwYWQ5OTE2OWQifQ=="/>
  </w:docVars>
  <w:rsids>
    <w:rsidRoot w:val="011C4FD2"/>
    <w:rsid w:val="00040C6B"/>
    <w:rsid w:val="011C4FD2"/>
    <w:rsid w:val="026108A3"/>
    <w:rsid w:val="031C3343"/>
    <w:rsid w:val="03814AC1"/>
    <w:rsid w:val="042C0CC4"/>
    <w:rsid w:val="05D56D7D"/>
    <w:rsid w:val="065E7D45"/>
    <w:rsid w:val="072E7EC2"/>
    <w:rsid w:val="085C469B"/>
    <w:rsid w:val="09700041"/>
    <w:rsid w:val="0B44579F"/>
    <w:rsid w:val="0C34338D"/>
    <w:rsid w:val="0C9E2E09"/>
    <w:rsid w:val="0E510850"/>
    <w:rsid w:val="0EBA38C9"/>
    <w:rsid w:val="131A2CDA"/>
    <w:rsid w:val="13852D29"/>
    <w:rsid w:val="13C0517C"/>
    <w:rsid w:val="15E352C7"/>
    <w:rsid w:val="16CE340D"/>
    <w:rsid w:val="172D32C7"/>
    <w:rsid w:val="189D794A"/>
    <w:rsid w:val="1AFB074F"/>
    <w:rsid w:val="1C6C40F3"/>
    <w:rsid w:val="1DEF1AA7"/>
    <w:rsid w:val="1E326A26"/>
    <w:rsid w:val="1EBA18D4"/>
    <w:rsid w:val="1F1E7DF3"/>
    <w:rsid w:val="1F8916F0"/>
    <w:rsid w:val="1FA87161"/>
    <w:rsid w:val="22B95F31"/>
    <w:rsid w:val="2869710E"/>
    <w:rsid w:val="28C00955"/>
    <w:rsid w:val="292E5EC9"/>
    <w:rsid w:val="293D7822"/>
    <w:rsid w:val="2B292A27"/>
    <w:rsid w:val="2C236B3D"/>
    <w:rsid w:val="2C245139"/>
    <w:rsid w:val="2C5F6444"/>
    <w:rsid w:val="2C9B56ED"/>
    <w:rsid w:val="2D463C0E"/>
    <w:rsid w:val="2E1D4F9C"/>
    <w:rsid w:val="2E85691B"/>
    <w:rsid w:val="2EA13D7C"/>
    <w:rsid w:val="31A41B28"/>
    <w:rsid w:val="31CD277D"/>
    <w:rsid w:val="335B432B"/>
    <w:rsid w:val="33B02C6E"/>
    <w:rsid w:val="35765301"/>
    <w:rsid w:val="368F1F9F"/>
    <w:rsid w:val="36C73026"/>
    <w:rsid w:val="3B2369E6"/>
    <w:rsid w:val="3B9820C0"/>
    <w:rsid w:val="3D584EF3"/>
    <w:rsid w:val="3E71026D"/>
    <w:rsid w:val="45A56EB5"/>
    <w:rsid w:val="47631040"/>
    <w:rsid w:val="47E15522"/>
    <w:rsid w:val="4A9F06E5"/>
    <w:rsid w:val="4AD34C81"/>
    <w:rsid w:val="4C220B74"/>
    <w:rsid w:val="4D4B4E00"/>
    <w:rsid w:val="4D5F5DCA"/>
    <w:rsid w:val="4E0C359C"/>
    <w:rsid w:val="4E4D6918"/>
    <w:rsid w:val="4EBE5DE5"/>
    <w:rsid w:val="4F83451A"/>
    <w:rsid w:val="50632459"/>
    <w:rsid w:val="50987A80"/>
    <w:rsid w:val="50B93E59"/>
    <w:rsid w:val="514663A8"/>
    <w:rsid w:val="518969F6"/>
    <w:rsid w:val="518F7CA8"/>
    <w:rsid w:val="51C37630"/>
    <w:rsid w:val="5230796A"/>
    <w:rsid w:val="54CB6141"/>
    <w:rsid w:val="5531222D"/>
    <w:rsid w:val="55370099"/>
    <w:rsid w:val="55C20694"/>
    <w:rsid w:val="55C76936"/>
    <w:rsid w:val="56A249FA"/>
    <w:rsid w:val="57847CE9"/>
    <w:rsid w:val="58AF75C5"/>
    <w:rsid w:val="58C442F9"/>
    <w:rsid w:val="5B1B4F13"/>
    <w:rsid w:val="5C0F0D95"/>
    <w:rsid w:val="5CF968AD"/>
    <w:rsid w:val="5DE44AAB"/>
    <w:rsid w:val="5F6D49DB"/>
    <w:rsid w:val="605F1BEA"/>
    <w:rsid w:val="64042861"/>
    <w:rsid w:val="64E21D7B"/>
    <w:rsid w:val="65311BA8"/>
    <w:rsid w:val="657A4E0C"/>
    <w:rsid w:val="681A7B2C"/>
    <w:rsid w:val="68443982"/>
    <w:rsid w:val="6AC14C2B"/>
    <w:rsid w:val="6AF605B3"/>
    <w:rsid w:val="6AFC5C0F"/>
    <w:rsid w:val="6D982656"/>
    <w:rsid w:val="6E4B192E"/>
    <w:rsid w:val="6E6B0976"/>
    <w:rsid w:val="6F0E4BEC"/>
    <w:rsid w:val="73710484"/>
    <w:rsid w:val="74AF0ACA"/>
    <w:rsid w:val="74E76FE8"/>
    <w:rsid w:val="756368DF"/>
    <w:rsid w:val="75915472"/>
    <w:rsid w:val="78DB47A3"/>
    <w:rsid w:val="7A8B4176"/>
    <w:rsid w:val="7B2A5482"/>
    <w:rsid w:val="7CF05A0C"/>
    <w:rsid w:val="7CFC3A54"/>
    <w:rsid w:val="7D3264E7"/>
    <w:rsid w:val="7DE42FF4"/>
    <w:rsid w:val="7E725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11226</Words>
  <Characters>11820</Characters>
  <Lines>0</Lines>
  <Paragraphs>0</Paragraphs>
  <TotalTime>80</TotalTime>
  <ScaleCrop>false</ScaleCrop>
  <LinksUpToDate>false</LinksUpToDate>
  <CharactersWithSpaces>11886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2022-10-18T03:04:00Z</dcterms:created>
  <dc:creator>zrcbank</dc:creator>
  <cp:lastModifiedBy>zrcbankchen</cp:lastModifiedBy>
  <dcterms:modified xsi:type="dcterms:W3CDTF">2024-03-20T00:32:05Z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524CB18E4DC641119812498C1A40939E_13</vt:lpwstr>
  </property>
</Properties>
</file>