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501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1"/>
        <w:gridCol w:w="800"/>
        <w:gridCol w:w="2000"/>
        <w:gridCol w:w="400"/>
        <w:gridCol w:w="400"/>
        <w:gridCol w:w="400"/>
        <w:gridCol w:w="20"/>
        <w:gridCol w:w="980"/>
        <w:gridCol w:w="1600"/>
        <w:gridCol w:w="400"/>
        <w:gridCol w:w="400"/>
        <w:gridCol w:w="220"/>
        <w:gridCol w:w="1380"/>
        <w:gridCol w:w="1700"/>
        <w:gridCol w:w="20"/>
        <w:gridCol w:w="780"/>
      </w:tblGrid>
      <w:tr>
        <w:trPr>
          <w:trHeight w:val="0" w:hRule="atLeast"/>
        </w:trPr>
        <w:tc>
          <w:tcPr>
            <w:tcW w:w="1" w:type="dxa"/>
            <w:vAlign w:val="top"/>
          </w:tcPr>
          <w:p>
            <w:pPr>
              <w:pStyle w:val="3"/>
            </w:pPr>
            <w:bookmarkStart w:id="0" w:name="JR_PAGE_ANCHOR_0_1"/>
            <w:bookmarkEnd w:id="0"/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  <w:tc>
          <w:tcPr>
            <w:tcW w:w="28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3400" w:type="dxa"/>
            <w:gridSpan w:val="5"/>
            <w:vAlign w:val="top"/>
          </w:tcPr>
          <w:p>
            <w:pPr>
              <w:pStyle w:val="3"/>
            </w:pPr>
          </w:p>
        </w:tc>
        <w:tc>
          <w:tcPr>
            <w:tcW w:w="33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18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原版宋体" w:hAnsi="原版宋体" w:eastAsia="原版宋体" w:cs="原版宋体"/>
                <w:b/>
                <w:color w:val="000000"/>
                <w:sz w:val="40"/>
              </w:rPr>
              <w:t>“金港湾惠享1920期”定期报告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7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  <w:tc>
          <w:tcPr>
            <w:tcW w:w="28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3400" w:type="dxa"/>
            <w:gridSpan w:val="5"/>
            <w:vAlign w:val="top"/>
          </w:tcPr>
          <w:p>
            <w:pPr>
              <w:pStyle w:val="3"/>
            </w:pPr>
          </w:p>
        </w:tc>
        <w:tc>
          <w:tcPr>
            <w:tcW w:w="33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产品管理人：江苏张家港农村商业银行股份有限公司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产品托管人：宁波银行股份有限公司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发布时间：2021年09月30日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7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  <w:tc>
          <w:tcPr>
            <w:tcW w:w="28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3400" w:type="dxa"/>
            <w:gridSpan w:val="5"/>
            <w:vAlign w:val="top"/>
          </w:tcPr>
          <w:p>
            <w:pPr>
              <w:pStyle w:val="3"/>
            </w:pPr>
          </w:p>
        </w:tc>
        <w:tc>
          <w:tcPr>
            <w:tcW w:w="33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5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1  重要提示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   产品的过往业绩并不代表其未来表现。投资有风险，投资者在作出投资决策前应仔细阅读本产品说明书。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   本报告中财务资料未经审计。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   本报告期自2021年07月01日起至09月30日止。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7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  <w:tc>
          <w:tcPr>
            <w:tcW w:w="28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3400" w:type="dxa"/>
            <w:gridSpan w:val="5"/>
            <w:vAlign w:val="top"/>
          </w:tcPr>
          <w:p>
            <w:pPr>
              <w:pStyle w:val="3"/>
            </w:pPr>
          </w:p>
        </w:tc>
        <w:tc>
          <w:tcPr>
            <w:tcW w:w="33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5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2  产品概况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8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6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产品名称</w:t>
            </w:r>
          </w:p>
        </w:tc>
        <w:tc>
          <w:tcPr>
            <w:tcW w:w="7100" w:type="dxa"/>
            <w:gridSpan w:val="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金港湾惠享1920期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6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产品编码</w:t>
            </w:r>
          </w:p>
        </w:tc>
        <w:tc>
          <w:tcPr>
            <w:tcW w:w="7100" w:type="dxa"/>
            <w:gridSpan w:val="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HX1920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6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全国银行业理财信息登记系统编码</w:t>
            </w:r>
          </w:p>
        </w:tc>
        <w:tc>
          <w:tcPr>
            <w:tcW w:w="7100" w:type="dxa"/>
            <w:gridSpan w:val="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C1115620000008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6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产品运作方式</w:t>
            </w:r>
          </w:p>
        </w:tc>
        <w:tc>
          <w:tcPr>
            <w:tcW w:w="7100" w:type="dxa"/>
            <w:gridSpan w:val="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封闭式净值型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6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产品类型</w:t>
            </w:r>
          </w:p>
        </w:tc>
        <w:tc>
          <w:tcPr>
            <w:tcW w:w="7100" w:type="dxa"/>
            <w:gridSpan w:val="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固定收益类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6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募集方式</w:t>
            </w:r>
          </w:p>
        </w:tc>
        <w:tc>
          <w:tcPr>
            <w:tcW w:w="7100" w:type="dxa"/>
            <w:gridSpan w:val="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公募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6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报告期末产品份额总额</w:t>
            </w:r>
          </w:p>
        </w:tc>
        <w:tc>
          <w:tcPr>
            <w:tcW w:w="7100" w:type="dxa"/>
            <w:gridSpan w:val="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318,420,000.00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6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报告期末单位净值</w:t>
            </w:r>
          </w:p>
        </w:tc>
        <w:tc>
          <w:tcPr>
            <w:tcW w:w="7100" w:type="dxa"/>
            <w:gridSpan w:val="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1.0490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6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报告期末累计单位净值</w:t>
            </w:r>
          </w:p>
        </w:tc>
        <w:tc>
          <w:tcPr>
            <w:tcW w:w="7100" w:type="dxa"/>
            <w:gridSpan w:val="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1.0490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6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报告期末净值增长率（年化）</w:t>
            </w:r>
          </w:p>
        </w:tc>
        <w:tc>
          <w:tcPr>
            <w:tcW w:w="7100" w:type="dxa"/>
            <w:gridSpan w:val="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hint="eastAsia" w:ascii="原版宋体" w:hAnsi="原版宋体" w:eastAsia="原版宋体" w:cs="原版宋体"/>
                <w:color w:val="000000"/>
                <w:sz w:val="20"/>
                <w:lang w:val="en-US" w:eastAsia="zh-CN"/>
              </w:rPr>
              <w:t>5.9855</w:t>
            </w:r>
            <w:bookmarkStart w:id="3" w:name="_GoBack"/>
            <w:bookmarkEnd w:id="3"/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%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7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  <w:tc>
          <w:tcPr>
            <w:tcW w:w="28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3400" w:type="dxa"/>
            <w:gridSpan w:val="5"/>
            <w:vAlign w:val="top"/>
          </w:tcPr>
          <w:p>
            <w:pPr>
              <w:pStyle w:val="3"/>
            </w:pPr>
          </w:p>
        </w:tc>
        <w:tc>
          <w:tcPr>
            <w:tcW w:w="33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5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3  资产组合报告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3.1 报告期末资产组合情况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序号</w:t>
            </w:r>
          </w:p>
        </w:tc>
        <w:tc>
          <w:tcPr>
            <w:tcW w:w="32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项目</w:t>
            </w:r>
          </w:p>
        </w:tc>
        <w:tc>
          <w:tcPr>
            <w:tcW w:w="34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金额（元）</w:t>
            </w:r>
          </w:p>
        </w:tc>
        <w:tc>
          <w:tcPr>
            <w:tcW w:w="33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占资产组合比例（%）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</w:t>
            </w:r>
          </w:p>
        </w:tc>
        <w:tc>
          <w:tcPr>
            <w:tcW w:w="32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固定收益投资</w:t>
            </w:r>
          </w:p>
        </w:tc>
        <w:tc>
          <w:tcPr>
            <w:tcW w:w="34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362,967,288.12</w:t>
            </w:r>
          </w:p>
        </w:tc>
        <w:tc>
          <w:tcPr>
            <w:tcW w:w="33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98.56%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</w:p>
        </w:tc>
        <w:tc>
          <w:tcPr>
            <w:tcW w:w="32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其中:银行间/交易所产品</w:t>
            </w:r>
          </w:p>
        </w:tc>
        <w:tc>
          <w:tcPr>
            <w:tcW w:w="34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212,354,577.27</w:t>
            </w:r>
          </w:p>
        </w:tc>
        <w:tc>
          <w:tcPr>
            <w:tcW w:w="33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57.66%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</w:p>
        </w:tc>
        <w:tc>
          <w:tcPr>
            <w:tcW w:w="32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     其中：回购</w:t>
            </w:r>
          </w:p>
        </w:tc>
        <w:tc>
          <w:tcPr>
            <w:tcW w:w="34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0.00</w:t>
            </w:r>
          </w:p>
        </w:tc>
        <w:tc>
          <w:tcPr>
            <w:tcW w:w="33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0.00%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0" w:hRule="atLeast"/>
        </w:trPr>
        <w:tc>
          <w:tcPr>
            <w:tcW w:w="1" w:type="dxa"/>
            <w:vAlign w:val="top"/>
          </w:tcPr>
          <w:p>
            <w:pPr>
              <w:pStyle w:val="3"/>
              <w:pageBreakBefore/>
            </w:pPr>
            <w:bookmarkStart w:id="1" w:name="JR_PAGE_ANCHOR_0_2"/>
            <w:bookmarkEnd w:id="1"/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  <w:tc>
          <w:tcPr>
            <w:tcW w:w="2000" w:type="dxa"/>
            <w:vAlign w:val="top"/>
          </w:tcPr>
          <w:p>
            <w:pPr>
              <w:pStyle w:val="3"/>
            </w:pPr>
          </w:p>
        </w:tc>
        <w:tc>
          <w:tcPr>
            <w:tcW w:w="12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980" w:type="dxa"/>
            <w:vAlign w:val="top"/>
          </w:tcPr>
          <w:p>
            <w:pPr>
              <w:pStyle w:val="3"/>
            </w:pPr>
          </w:p>
        </w:tc>
        <w:tc>
          <w:tcPr>
            <w:tcW w:w="2000" w:type="dxa"/>
            <w:gridSpan w:val="2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220" w:type="dxa"/>
            <w:vAlign w:val="top"/>
          </w:tcPr>
          <w:p>
            <w:pPr>
              <w:pStyle w:val="3"/>
            </w:pPr>
          </w:p>
        </w:tc>
        <w:tc>
          <w:tcPr>
            <w:tcW w:w="1380" w:type="dxa"/>
            <w:vAlign w:val="top"/>
          </w:tcPr>
          <w:p>
            <w:pPr>
              <w:pStyle w:val="3"/>
            </w:pPr>
          </w:p>
        </w:tc>
        <w:tc>
          <w:tcPr>
            <w:tcW w:w="1700" w:type="dxa"/>
            <w:vAlign w:val="top"/>
          </w:tcPr>
          <w:p>
            <w:pPr>
              <w:pStyle w:val="3"/>
            </w:pP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</w:p>
        </w:tc>
        <w:tc>
          <w:tcPr>
            <w:tcW w:w="32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   非银行间/非交易所产品</w:t>
            </w:r>
          </w:p>
        </w:tc>
        <w:tc>
          <w:tcPr>
            <w:tcW w:w="34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150,612,710.85</w:t>
            </w:r>
          </w:p>
        </w:tc>
        <w:tc>
          <w:tcPr>
            <w:tcW w:w="33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40.90%</w:t>
            </w: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2</w:t>
            </w:r>
          </w:p>
        </w:tc>
        <w:tc>
          <w:tcPr>
            <w:tcW w:w="32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银行存款合计</w:t>
            </w:r>
          </w:p>
        </w:tc>
        <w:tc>
          <w:tcPr>
            <w:tcW w:w="34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5,306,308.41</w:t>
            </w:r>
          </w:p>
        </w:tc>
        <w:tc>
          <w:tcPr>
            <w:tcW w:w="33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1.44%</w:t>
            </w: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3</w:t>
            </w:r>
          </w:p>
        </w:tc>
        <w:tc>
          <w:tcPr>
            <w:tcW w:w="32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其他资产</w:t>
            </w:r>
          </w:p>
        </w:tc>
        <w:tc>
          <w:tcPr>
            <w:tcW w:w="34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0.00</w:t>
            </w:r>
          </w:p>
        </w:tc>
        <w:tc>
          <w:tcPr>
            <w:tcW w:w="33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0.00%</w:t>
            </w: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4</w:t>
            </w:r>
          </w:p>
        </w:tc>
        <w:tc>
          <w:tcPr>
            <w:tcW w:w="32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合计</w:t>
            </w:r>
          </w:p>
        </w:tc>
        <w:tc>
          <w:tcPr>
            <w:tcW w:w="34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368,273,596.53</w:t>
            </w:r>
          </w:p>
        </w:tc>
        <w:tc>
          <w:tcPr>
            <w:tcW w:w="33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100.00%</w:t>
            </w: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7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  <w:tc>
          <w:tcPr>
            <w:tcW w:w="2000" w:type="dxa"/>
            <w:vAlign w:val="top"/>
          </w:tcPr>
          <w:p>
            <w:pPr>
              <w:pStyle w:val="3"/>
            </w:pPr>
          </w:p>
        </w:tc>
        <w:tc>
          <w:tcPr>
            <w:tcW w:w="12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980" w:type="dxa"/>
            <w:vAlign w:val="top"/>
          </w:tcPr>
          <w:p>
            <w:pPr>
              <w:pStyle w:val="3"/>
            </w:pPr>
          </w:p>
        </w:tc>
        <w:tc>
          <w:tcPr>
            <w:tcW w:w="2000" w:type="dxa"/>
            <w:gridSpan w:val="2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220" w:type="dxa"/>
            <w:vAlign w:val="top"/>
          </w:tcPr>
          <w:p>
            <w:pPr>
              <w:pStyle w:val="3"/>
            </w:pPr>
          </w:p>
        </w:tc>
        <w:tc>
          <w:tcPr>
            <w:tcW w:w="1380" w:type="dxa"/>
            <w:vAlign w:val="top"/>
          </w:tcPr>
          <w:p>
            <w:pPr>
              <w:pStyle w:val="3"/>
            </w:pPr>
          </w:p>
        </w:tc>
        <w:tc>
          <w:tcPr>
            <w:tcW w:w="1700" w:type="dxa"/>
            <w:vAlign w:val="top"/>
          </w:tcPr>
          <w:p>
            <w:pPr>
              <w:pStyle w:val="3"/>
            </w:pP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3.2 报告期末按债券品种分类的债券投资组合</w:t>
            </w: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序号</w:t>
            </w:r>
          </w:p>
        </w:tc>
        <w:tc>
          <w:tcPr>
            <w:tcW w:w="322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债券品种</w:t>
            </w:r>
          </w:p>
        </w:tc>
        <w:tc>
          <w:tcPr>
            <w:tcW w:w="36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金额（元）</w:t>
            </w:r>
          </w:p>
        </w:tc>
        <w:tc>
          <w:tcPr>
            <w:tcW w:w="31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占资产组合比例（%）</w:t>
            </w: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</w:t>
            </w:r>
          </w:p>
        </w:tc>
        <w:tc>
          <w:tcPr>
            <w:tcW w:w="322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国家债券</w:t>
            </w:r>
          </w:p>
        </w:tc>
        <w:tc>
          <w:tcPr>
            <w:tcW w:w="36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0.00</w:t>
            </w:r>
          </w:p>
        </w:tc>
        <w:tc>
          <w:tcPr>
            <w:tcW w:w="31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0.00%</w:t>
            </w: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2</w:t>
            </w:r>
          </w:p>
        </w:tc>
        <w:tc>
          <w:tcPr>
            <w:tcW w:w="322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央行票据</w:t>
            </w:r>
          </w:p>
        </w:tc>
        <w:tc>
          <w:tcPr>
            <w:tcW w:w="36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0.00</w:t>
            </w:r>
          </w:p>
        </w:tc>
        <w:tc>
          <w:tcPr>
            <w:tcW w:w="31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0.00%</w:t>
            </w: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3</w:t>
            </w:r>
          </w:p>
        </w:tc>
        <w:tc>
          <w:tcPr>
            <w:tcW w:w="322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金融债券</w:t>
            </w:r>
          </w:p>
        </w:tc>
        <w:tc>
          <w:tcPr>
            <w:tcW w:w="36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20,305,584.26</w:t>
            </w:r>
          </w:p>
        </w:tc>
        <w:tc>
          <w:tcPr>
            <w:tcW w:w="31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5.51%</w:t>
            </w: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</w:p>
        </w:tc>
        <w:tc>
          <w:tcPr>
            <w:tcW w:w="322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其中：政策性金融债</w:t>
            </w:r>
          </w:p>
        </w:tc>
        <w:tc>
          <w:tcPr>
            <w:tcW w:w="36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0.00</w:t>
            </w:r>
          </w:p>
        </w:tc>
        <w:tc>
          <w:tcPr>
            <w:tcW w:w="31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0.00%</w:t>
            </w: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4</w:t>
            </w:r>
          </w:p>
        </w:tc>
        <w:tc>
          <w:tcPr>
            <w:tcW w:w="322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企业债券</w:t>
            </w:r>
          </w:p>
        </w:tc>
        <w:tc>
          <w:tcPr>
            <w:tcW w:w="36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131,959,453.29</w:t>
            </w:r>
          </w:p>
        </w:tc>
        <w:tc>
          <w:tcPr>
            <w:tcW w:w="31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35.83%</w:t>
            </w: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5</w:t>
            </w:r>
          </w:p>
        </w:tc>
        <w:tc>
          <w:tcPr>
            <w:tcW w:w="322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企业短期融资券</w:t>
            </w:r>
          </w:p>
        </w:tc>
        <w:tc>
          <w:tcPr>
            <w:tcW w:w="36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0.00</w:t>
            </w:r>
          </w:p>
        </w:tc>
        <w:tc>
          <w:tcPr>
            <w:tcW w:w="31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0.00%</w:t>
            </w: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6</w:t>
            </w:r>
          </w:p>
        </w:tc>
        <w:tc>
          <w:tcPr>
            <w:tcW w:w="322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可转债</w:t>
            </w:r>
          </w:p>
        </w:tc>
        <w:tc>
          <w:tcPr>
            <w:tcW w:w="36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0.00</w:t>
            </w:r>
          </w:p>
        </w:tc>
        <w:tc>
          <w:tcPr>
            <w:tcW w:w="31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0.00%</w:t>
            </w: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7</w:t>
            </w:r>
          </w:p>
        </w:tc>
        <w:tc>
          <w:tcPr>
            <w:tcW w:w="322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其他</w:t>
            </w:r>
          </w:p>
        </w:tc>
        <w:tc>
          <w:tcPr>
            <w:tcW w:w="36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60,089,539.72</w:t>
            </w:r>
          </w:p>
        </w:tc>
        <w:tc>
          <w:tcPr>
            <w:tcW w:w="31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16.32%</w:t>
            </w: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8</w:t>
            </w:r>
          </w:p>
        </w:tc>
        <w:tc>
          <w:tcPr>
            <w:tcW w:w="322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合计</w:t>
            </w:r>
          </w:p>
        </w:tc>
        <w:tc>
          <w:tcPr>
            <w:tcW w:w="36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212,354,577.27</w:t>
            </w:r>
          </w:p>
        </w:tc>
        <w:tc>
          <w:tcPr>
            <w:tcW w:w="31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57.66%</w:t>
            </w: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118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  <w:tc>
          <w:tcPr>
            <w:tcW w:w="2000" w:type="dxa"/>
            <w:vAlign w:val="top"/>
          </w:tcPr>
          <w:p>
            <w:pPr>
              <w:pStyle w:val="3"/>
            </w:pPr>
          </w:p>
        </w:tc>
        <w:tc>
          <w:tcPr>
            <w:tcW w:w="12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980" w:type="dxa"/>
            <w:vAlign w:val="top"/>
          </w:tcPr>
          <w:p>
            <w:pPr>
              <w:pStyle w:val="3"/>
            </w:pPr>
          </w:p>
        </w:tc>
        <w:tc>
          <w:tcPr>
            <w:tcW w:w="2000" w:type="dxa"/>
            <w:gridSpan w:val="2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220" w:type="dxa"/>
            <w:vAlign w:val="top"/>
          </w:tcPr>
          <w:p>
            <w:pPr>
              <w:pStyle w:val="3"/>
            </w:pPr>
          </w:p>
        </w:tc>
        <w:tc>
          <w:tcPr>
            <w:tcW w:w="1380" w:type="dxa"/>
            <w:vAlign w:val="top"/>
          </w:tcPr>
          <w:p>
            <w:pPr>
              <w:pStyle w:val="3"/>
            </w:pPr>
          </w:p>
        </w:tc>
        <w:tc>
          <w:tcPr>
            <w:tcW w:w="1700" w:type="dxa"/>
            <w:vAlign w:val="top"/>
          </w:tcPr>
          <w:p>
            <w:pPr>
              <w:pStyle w:val="3"/>
            </w:pP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3.3 报告期末按市值占</w:t>
            </w:r>
            <w:r>
              <w:rPr>
                <w:rFonts w:hint="eastAsia" w:ascii="原版宋体" w:hAnsi="原版宋体" w:eastAsia="原版宋体" w:cs="原版宋体"/>
                <w:color w:val="000000"/>
                <w:sz w:val="20"/>
                <w:lang w:eastAsia="zh-CN"/>
              </w:rPr>
              <w:t>产品</w:t>
            </w: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资产组合比例大小排名前十的资产投资明细</w:t>
            </w: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6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序号</w:t>
            </w:r>
          </w:p>
        </w:tc>
        <w:tc>
          <w:tcPr>
            <w:tcW w:w="20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资产代码</w:t>
            </w:r>
          </w:p>
        </w:tc>
        <w:tc>
          <w:tcPr>
            <w:tcW w:w="22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资产名称</w:t>
            </w:r>
          </w:p>
        </w:tc>
        <w:tc>
          <w:tcPr>
            <w:tcW w:w="20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数量</w:t>
            </w:r>
          </w:p>
        </w:tc>
        <w:tc>
          <w:tcPr>
            <w:tcW w:w="20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市值(元)</w:t>
            </w:r>
          </w:p>
        </w:tc>
        <w:tc>
          <w:tcPr>
            <w:tcW w:w="17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占</w:t>
            </w:r>
            <w:r>
              <w:rPr>
                <w:rFonts w:hint="eastAsia" w:ascii="原版宋体" w:hAnsi="原版宋体" w:eastAsia="原版宋体" w:cs="原版宋体"/>
                <w:b/>
                <w:color w:val="000000"/>
                <w:sz w:val="20"/>
                <w:lang w:eastAsia="zh-CN"/>
              </w:rPr>
              <w:t>产品</w:t>
            </w: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资产组合比例（％）</w:t>
            </w: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68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1</w:t>
            </w:r>
          </w:p>
        </w:tc>
        <w:tc>
          <w:tcPr>
            <w:tcW w:w="20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20088112                        </w:t>
            </w:r>
          </w:p>
        </w:tc>
        <w:tc>
          <w:tcPr>
            <w:tcW w:w="22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南通高新技术产业开发区总公司2020年度第二期理财直接融资工具</w:t>
            </w:r>
          </w:p>
        </w:tc>
        <w:tc>
          <w:tcPr>
            <w:tcW w:w="20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75,000,000.00</w:t>
            </w:r>
          </w:p>
        </w:tc>
        <w:tc>
          <w:tcPr>
            <w:tcW w:w="20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75,130,684.93</w:t>
            </w:r>
          </w:p>
        </w:tc>
        <w:tc>
          <w:tcPr>
            <w:tcW w:w="17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hint="eastAsia" w:ascii="原版宋体" w:hAnsi="原版宋体" w:eastAsia="原版宋体" w:cs="原版宋体"/>
                <w:color w:val="000000"/>
                <w:sz w:val="20"/>
                <w:lang w:val="en-US" w:eastAsia="zh-CN"/>
              </w:rPr>
              <w:t>20.40</w:t>
            </w: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%</w:t>
            </w: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68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2</w:t>
            </w:r>
          </w:p>
        </w:tc>
        <w:tc>
          <w:tcPr>
            <w:tcW w:w="20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21088012                        </w:t>
            </w:r>
          </w:p>
        </w:tc>
        <w:tc>
          <w:tcPr>
            <w:tcW w:w="22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无锡惠山开发建设有限公司2021年度第一期理财直接融资工具</w:t>
            </w:r>
          </w:p>
        </w:tc>
        <w:tc>
          <w:tcPr>
            <w:tcW w:w="20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50,000,000.00</w:t>
            </w:r>
          </w:p>
        </w:tc>
        <w:tc>
          <w:tcPr>
            <w:tcW w:w="20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50,486,575.34</w:t>
            </w:r>
          </w:p>
        </w:tc>
        <w:tc>
          <w:tcPr>
            <w:tcW w:w="17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hint="eastAsia" w:ascii="原版宋体" w:hAnsi="原版宋体" w:eastAsia="原版宋体" w:cs="原版宋体"/>
                <w:color w:val="000000"/>
                <w:sz w:val="20"/>
                <w:lang w:val="en-US" w:eastAsia="zh-CN"/>
              </w:rPr>
              <w:t>13.71</w:t>
            </w: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%</w:t>
            </w: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6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3</w:t>
            </w:r>
          </w:p>
        </w:tc>
        <w:tc>
          <w:tcPr>
            <w:tcW w:w="20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166244        </w:t>
            </w:r>
          </w:p>
        </w:tc>
        <w:tc>
          <w:tcPr>
            <w:tcW w:w="22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20物流01</w:t>
            </w:r>
          </w:p>
        </w:tc>
        <w:tc>
          <w:tcPr>
            <w:tcW w:w="20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30,000,000.00</w:t>
            </w:r>
          </w:p>
        </w:tc>
        <w:tc>
          <w:tcPr>
            <w:tcW w:w="20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30,223,427.94</w:t>
            </w:r>
          </w:p>
        </w:tc>
        <w:tc>
          <w:tcPr>
            <w:tcW w:w="17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hint="eastAsia" w:ascii="原版宋体" w:hAnsi="原版宋体" w:eastAsia="原版宋体" w:cs="原版宋体"/>
                <w:color w:val="000000"/>
                <w:sz w:val="20"/>
                <w:lang w:val="en-US" w:eastAsia="zh-CN"/>
              </w:rPr>
              <w:t>8.21</w:t>
            </w: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%</w:t>
            </w: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6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4</w:t>
            </w:r>
          </w:p>
        </w:tc>
        <w:tc>
          <w:tcPr>
            <w:tcW w:w="20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167526        </w:t>
            </w:r>
          </w:p>
        </w:tc>
        <w:tc>
          <w:tcPr>
            <w:tcW w:w="22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20富开01</w:t>
            </w:r>
          </w:p>
        </w:tc>
        <w:tc>
          <w:tcPr>
            <w:tcW w:w="20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30,000,000.00</w:t>
            </w:r>
          </w:p>
        </w:tc>
        <w:tc>
          <w:tcPr>
            <w:tcW w:w="20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30,060,082.19</w:t>
            </w:r>
          </w:p>
        </w:tc>
        <w:tc>
          <w:tcPr>
            <w:tcW w:w="17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hint="eastAsia" w:ascii="原版宋体" w:hAnsi="原版宋体" w:eastAsia="原版宋体" w:cs="原版宋体"/>
                <w:color w:val="000000"/>
                <w:sz w:val="20"/>
                <w:lang w:val="en-US" w:eastAsia="zh-CN"/>
              </w:rPr>
              <w:t>8.16</w:t>
            </w: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%</w:t>
            </w: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6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5</w:t>
            </w:r>
          </w:p>
        </w:tc>
        <w:tc>
          <w:tcPr>
            <w:tcW w:w="20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167744        </w:t>
            </w:r>
          </w:p>
        </w:tc>
        <w:tc>
          <w:tcPr>
            <w:tcW w:w="22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20如皋04</w:t>
            </w:r>
          </w:p>
        </w:tc>
        <w:tc>
          <w:tcPr>
            <w:tcW w:w="20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30,000,000.00</w:t>
            </w:r>
          </w:p>
        </w:tc>
        <w:tc>
          <w:tcPr>
            <w:tcW w:w="20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30,042,534.25</w:t>
            </w:r>
          </w:p>
        </w:tc>
        <w:tc>
          <w:tcPr>
            <w:tcW w:w="17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hint="eastAsia" w:ascii="原版宋体" w:hAnsi="原版宋体" w:eastAsia="原版宋体" w:cs="原版宋体"/>
                <w:color w:val="000000"/>
                <w:sz w:val="20"/>
                <w:lang w:val="en-US" w:eastAsia="zh-CN"/>
              </w:rPr>
              <w:t>8.16</w:t>
            </w: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%</w:t>
            </w: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6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6</w:t>
            </w:r>
          </w:p>
        </w:tc>
        <w:tc>
          <w:tcPr>
            <w:tcW w:w="20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167693        </w:t>
            </w:r>
          </w:p>
        </w:tc>
        <w:tc>
          <w:tcPr>
            <w:tcW w:w="22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20扬开01</w:t>
            </w:r>
          </w:p>
        </w:tc>
        <w:tc>
          <w:tcPr>
            <w:tcW w:w="20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30,000,000.00</w:t>
            </w:r>
          </w:p>
        </w:tc>
        <w:tc>
          <w:tcPr>
            <w:tcW w:w="20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30,029,457.53</w:t>
            </w:r>
          </w:p>
        </w:tc>
        <w:tc>
          <w:tcPr>
            <w:tcW w:w="17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hint="eastAsia" w:ascii="原版宋体" w:hAnsi="原版宋体" w:eastAsia="原版宋体" w:cs="原版宋体"/>
                <w:color w:val="000000"/>
                <w:sz w:val="20"/>
                <w:lang w:val="en-US" w:eastAsia="zh-CN"/>
              </w:rPr>
              <w:t>8.15</w:t>
            </w: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%</w:t>
            </w: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6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7</w:t>
            </w:r>
          </w:p>
        </w:tc>
        <w:tc>
          <w:tcPr>
            <w:tcW w:w="20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102000598       </w:t>
            </w:r>
          </w:p>
        </w:tc>
        <w:tc>
          <w:tcPr>
            <w:tcW w:w="22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20杭州交投MTN001</w:t>
            </w:r>
          </w:p>
        </w:tc>
        <w:tc>
          <w:tcPr>
            <w:tcW w:w="20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30,000,000.00</w:t>
            </w:r>
          </w:p>
        </w:tc>
        <w:tc>
          <w:tcPr>
            <w:tcW w:w="20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30,017,448.57</w:t>
            </w:r>
          </w:p>
        </w:tc>
        <w:tc>
          <w:tcPr>
            <w:tcW w:w="17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hint="eastAsia" w:ascii="原版宋体" w:hAnsi="原版宋体" w:eastAsia="原版宋体" w:cs="原版宋体"/>
                <w:color w:val="000000"/>
                <w:sz w:val="20"/>
                <w:lang w:val="en-US" w:eastAsia="zh-CN"/>
              </w:rPr>
              <w:t>8.15</w:t>
            </w: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%</w:t>
            </w: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6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8</w:t>
            </w:r>
          </w:p>
        </w:tc>
        <w:tc>
          <w:tcPr>
            <w:tcW w:w="20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167855        </w:t>
            </w:r>
          </w:p>
        </w:tc>
        <w:tc>
          <w:tcPr>
            <w:tcW w:w="22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20宜经02</w:t>
            </w:r>
          </w:p>
        </w:tc>
        <w:tc>
          <w:tcPr>
            <w:tcW w:w="20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20,000,000.00</w:t>
            </w:r>
          </w:p>
        </w:tc>
        <w:tc>
          <w:tcPr>
            <w:tcW w:w="20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20,902,663.01</w:t>
            </w:r>
          </w:p>
        </w:tc>
        <w:tc>
          <w:tcPr>
            <w:tcW w:w="17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hint="eastAsia" w:ascii="原版宋体" w:hAnsi="原版宋体" w:eastAsia="原版宋体" w:cs="原版宋体"/>
                <w:color w:val="000000"/>
                <w:sz w:val="20"/>
                <w:lang w:val="en-US" w:eastAsia="zh-CN"/>
              </w:rPr>
              <w:t>5.68</w:t>
            </w: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%</w:t>
            </w: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6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9</w:t>
            </w:r>
          </w:p>
        </w:tc>
        <w:tc>
          <w:tcPr>
            <w:tcW w:w="20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101901625       </w:t>
            </w:r>
          </w:p>
        </w:tc>
        <w:tc>
          <w:tcPr>
            <w:tcW w:w="22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19华电股MTN004A</w:t>
            </w:r>
          </w:p>
        </w:tc>
        <w:tc>
          <w:tcPr>
            <w:tcW w:w="20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20,000,000.00</w:t>
            </w:r>
          </w:p>
        </w:tc>
        <w:tc>
          <w:tcPr>
            <w:tcW w:w="20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20,773,379.52</w:t>
            </w:r>
          </w:p>
        </w:tc>
        <w:tc>
          <w:tcPr>
            <w:tcW w:w="17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hint="eastAsia" w:ascii="原版宋体" w:hAnsi="原版宋体" w:eastAsia="原版宋体" w:cs="原版宋体"/>
                <w:color w:val="000000"/>
                <w:sz w:val="20"/>
                <w:lang w:val="en-US" w:eastAsia="zh-CN"/>
              </w:rPr>
              <w:t>5.64</w:t>
            </w: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%</w:t>
            </w: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0" w:hRule="atLeast"/>
        </w:trPr>
        <w:tc>
          <w:tcPr>
            <w:tcW w:w="1" w:type="dxa"/>
            <w:vAlign w:val="top"/>
          </w:tcPr>
          <w:p>
            <w:pPr>
              <w:pStyle w:val="3"/>
              <w:pageBreakBefore/>
            </w:pPr>
            <w:bookmarkStart w:id="2" w:name="JR_PAGE_ANCHOR_0_3"/>
            <w:bookmarkEnd w:id="2"/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  <w:tc>
          <w:tcPr>
            <w:tcW w:w="2000" w:type="dxa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1800" w:type="dxa"/>
            <w:gridSpan w:val="4"/>
            <w:vAlign w:val="top"/>
          </w:tcPr>
          <w:p>
            <w:pPr>
              <w:pStyle w:val="3"/>
            </w:pPr>
          </w:p>
        </w:tc>
        <w:tc>
          <w:tcPr>
            <w:tcW w:w="1600" w:type="dxa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20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1700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6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10</w:t>
            </w:r>
          </w:p>
        </w:tc>
        <w:tc>
          <w:tcPr>
            <w:tcW w:w="20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1720058         </w:t>
            </w:r>
          </w:p>
        </w:tc>
        <w:tc>
          <w:tcPr>
            <w:tcW w:w="22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17通商银行二级01</w:t>
            </w:r>
          </w:p>
        </w:tc>
        <w:tc>
          <w:tcPr>
            <w:tcW w:w="20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20,000,000.00</w:t>
            </w:r>
          </w:p>
        </w:tc>
        <w:tc>
          <w:tcPr>
            <w:tcW w:w="20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20,305,584.26</w:t>
            </w:r>
          </w:p>
        </w:tc>
        <w:tc>
          <w:tcPr>
            <w:tcW w:w="17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hint="eastAsia" w:ascii="原版宋体" w:hAnsi="原版宋体" w:eastAsia="原版宋体" w:cs="原版宋体"/>
                <w:color w:val="000000"/>
                <w:sz w:val="20"/>
                <w:lang w:val="en-US" w:eastAsia="zh-CN"/>
              </w:rPr>
              <w:t>5.51</w:t>
            </w: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%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7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  <w:tc>
          <w:tcPr>
            <w:tcW w:w="2000" w:type="dxa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1800" w:type="dxa"/>
            <w:gridSpan w:val="4"/>
            <w:vAlign w:val="top"/>
          </w:tcPr>
          <w:p>
            <w:pPr>
              <w:pStyle w:val="3"/>
            </w:pPr>
          </w:p>
        </w:tc>
        <w:tc>
          <w:tcPr>
            <w:tcW w:w="1600" w:type="dxa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20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1700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3.4 报告期末资产组合流动性风险分析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2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流动性资产市值（元）</w:t>
            </w:r>
          </w:p>
        </w:tc>
        <w:tc>
          <w:tcPr>
            <w:tcW w:w="34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资产组合净值（元）</w:t>
            </w:r>
          </w:p>
        </w:tc>
        <w:tc>
          <w:tcPr>
            <w:tcW w:w="41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流动性资产占比（%）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2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5,306,308.41</w:t>
            </w:r>
          </w:p>
        </w:tc>
        <w:tc>
          <w:tcPr>
            <w:tcW w:w="34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334,027,481.77</w:t>
            </w:r>
          </w:p>
        </w:tc>
        <w:tc>
          <w:tcPr>
            <w:tcW w:w="41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1.59%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8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  <w:tc>
          <w:tcPr>
            <w:tcW w:w="2000" w:type="dxa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1800" w:type="dxa"/>
            <w:gridSpan w:val="4"/>
            <w:vAlign w:val="top"/>
          </w:tcPr>
          <w:p>
            <w:pPr>
              <w:pStyle w:val="3"/>
            </w:pPr>
          </w:p>
        </w:tc>
        <w:tc>
          <w:tcPr>
            <w:tcW w:w="1600" w:type="dxa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20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1700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12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   产品管理人通过合理安排资产配置结构，保持一定比例的流动性资产，控制资产久期、杠杆融资比例，管控产品流动性风险。持仓中主要以一定比例的中高等级信用债或非标资产为主，风险总体可控。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88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  <w:tc>
          <w:tcPr>
            <w:tcW w:w="2000" w:type="dxa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1800" w:type="dxa"/>
            <w:gridSpan w:val="4"/>
            <w:vAlign w:val="top"/>
          </w:tcPr>
          <w:p>
            <w:pPr>
              <w:pStyle w:val="3"/>
            </w:pPr>
          </w:p>
        </w:tc>
        <w:tc>
          <w:tcPr>
            <w:tcW w:w="1600" w:type="dxa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20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1700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before="0" w:after="0" w:line="360" w:lineRule="auto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江苏张家港农村商业银行股份有限公司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before="0" w:after="0" w:line="360" w:lineRule="auto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2021年09月30日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</w:tbl>
    <w:p/>
    <w:sectPr>
      <w:pgSz w:w="13900" w:h="16840"/>
      <w:pgMar w:top="800" w:right="1200" w:bottom="440" w:left="1200" w:header="0" w:footer="0" w:gutter="0"/>
      <w:cols w:space="720" w:num="1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SansSerif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原版宋体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bordersDoNotSurroundHeader w:val="1"/>
  <w:bordersDoNotSurroundFooter w:val="1"/>
  <w:defaultTabStop w:val="800"/>
  <w:displayHorizontalDrawingGridEvery w:val="1"/>
  <w:displayVerticalDrawingGridEvery w:val="1"/>
  <w:characterSpacingControl w:val="compressPunctuation"/>
  <w:compat>
    <w:spaceForUL/>
    <w:doNotLeaveBackslashAlone/>
    <w:ulTrailSpace/>
    <w:doNotExpandShiftReturn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style w:type="paragraph" w:default="1" w:styleId="1">
    <w:name w:val="Normal"/>
    <w:pPr>
      <w:widowControl w:val="0"/>
      <w:jc w:val="both"/>
    </w:pPr>
    <w:rPr>
      <w:rFonts w:ascii="Calibri" w:hAnsi="Calibri" w:eastAsia="宋体" w:cs="黑体"/>
      <w:sz w:val="21"/>
      <w:szCs w:val="22"/>
    </w:rPr>
  </w:style>
  <w:style w:type="character" w:default="1" w:styleId="2">
    <w:name w:val="Default Paragraph Font"/>
  </w:style>
  <w:style w:type="paragraph" w:customStyle="1" w:styleId="3">
    <w:name w:val="EMPTY_CELL_STYLE"/>
    <w:pPr>
      <w:spacing w:line="240" w:lineRule="auto"/>
    </w:pPr>
    <w:rPr>
      <w:rFonts w:ascii="SansSerif" w:hAnsi="SansSerif" w:eastAsia="SansSerif" w:cs="SansSerif"/>
      <w:color w:val="000000"/>
      <w:sz w:val="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0</Pages>
  <Words>0</Words>
  <Characters>0</Characters>
  <Lines>0</Lines>
  <Paragraphs>0</Paragraphs>
  <TotalTime>0</TotalTime>
  <ScaleCrop>false</ScaleCrop>
  <LinksUpToDate>false</LinksUpToDate>
  <CharactersWithSpaces>0</CharactersWithSpaces>
  <Application>WPS Office 专业版_9.1.0.4167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2021-10-09T14:24:00Z</dcterms:created>
  <dc:creator>zrc</dc:creator>
  <dcterms:modified xsi:type="dcterms:W3CDTF">2021-10-11T15:42:28Z</dcterms:modified>
  <dc:title>zrc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2052-9.1.0.4167</vt:lpwstr>
  </property>
</Properties>
</file>