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20"/>
        <w:gridCol w:w="980"/>
        <w:gridCol w:w="1600"/>
        <w:gridCol w:w="400"/>
        <w:gridCol w:w="400"/>
        <w:gridCol w:w="220"/>
        <w:gridCol w:w="1380"/>
        <w:gridCol w:w="1700"/>
        <w:gridCol w:w="20"/>
        <w:gridCol w:w="78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“金港湾惠享1921期”定期报告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产品托管人：宁波银行股份有限公司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产品的过往业绩并不代表其未来表现。投资有风险，投资者在作出投资决策前应仔细阅读本产品说明书。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金港湾惠享1921期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HX1921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C1115620000009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封闭式净值型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公募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130,320,000.00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1.0490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1.0490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3313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136,890,684.93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99.01%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10,002,684.93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7.23%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126,888,000.00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91.78%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1,366,432.42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0.99%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bookmarkStart w:id="3" w:name="_GoBack"/>
            <w:bookmarkEnd w:id="3"/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138,257,117.35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报告期末按债券品种分类的债券投资组合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债券品种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国家债券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央行票据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金融债券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其中：政策性金融债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企业短期融资券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可转债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10,002,684.93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7.23%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10,002,684.93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7.23%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11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报告期末按市值占资产组合净值比例大小排名前十的资产投资明细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占资产组合比例（％）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XHT7H                 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鑫元基金-鑫合通7号资产管理计划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102,000,000.00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126,888,000.00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91.78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2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167818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20启创01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10,002,684.93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23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3.4 报告期末资产组合流动性风险分析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资产组合净值（元）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1,366,432.42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136,701,422.81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产品管理人通过合理安排资产配置结构，保持一定比例的流动性资产，控制资产久期、杠杆融资比例，管控产品流动性风险。持仓中主要以一定比例的中高等级信用债或非标资产为主，风险总体可控。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2" w:name="JR_PAGE_ANCHOR_0_3"/>
            <w:bookmarkEnd w:id="2"/>
          </w:p>
        </w:tc>
        <w:tc>
          <w:tcPr>
            <w:tcW w:w="10700" w:type="dxa"/>
            <w:gridSpan w:val="1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  <w:lang w:val="en-US" w:eastAsia="zh-CN" w:bidi="ar-SA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2021-10-12T02:39:00Z</dcterms:created>
  <dc:creator>zrc</dc:creator>
  <dcterms:modified xsi:type="dcterms:W3CDTF">2021-10-13T09:49:21Z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