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3400"/>
        <w:gridCol w:w="200"/>
        <w:gridCol w:w="7100"/>
        <w:gridCol w:w="8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7"/>
            </w:pPr>
            <w:bookmarkStart w:id="0" w:name="JR_PAGE_ANCHOR_0_1"/>
            <w:bookmarkEnd w:id="0"/>
          </w:p>
        </w:tc>
        <w:tc>
          <w:tcPr>
            <w:tcW w:w="3400" w:type="dxa"/>
            <w:vAlign w:val="top"/>
          </w:tcPr>
          <w:p>
            <w:pPr>
              <w:pStyle w:val="7"/>
            </w:pPr>
          </w:p>
        </w:tc>
        <w:tc>
          <w:tcPr>
            <w:tcW w:w="200" w:type="dxa"/>
            <w:vAlign w:val="top"/>
          </w:tcPr>
          <w:p>
            <w:pPr>
              <w:pStyle w:val="7"/>
            </w:pPr>
          </w:p>
        </w:tc>
        <w:tc>
          <w:tcPr>
            <w:tcW w:w="7100" w:type="dxa"/>
            <w:vAlign w:val="top"/>
          </w:tcPr>
          <w:p>
            <w:pPr>
              <w:pStyle w:val="7"/>
            </w:pPr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7"/>
            </w:pPr>
          </w:p>
        </w:tc>
        <w:tc>
          <w:tcPr>
            <w:tcW w:w="107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40"/>
                <w:lang w:val="en-US" w:eastAsia="zh-CN"/>
              </w:rPr>
              <w:t>理财业务三季度报告</w:t>
            </w:r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0" w:hRule="exact"/>
        </w:trPr>
        <w:tc>
          <w:tcPr>
            <w:tcW w:w="1" w:type="dxa"/>
            <w:vAlign w:val="top"/>
          </w:tcPr>
          <w:p>
            <w:pPr>
              <w:pStyle w:val="7"/>
            </w:pPr>
          </w:p>
        </w:tc>
        <w:tc>
          <w:tcPr>
            <w:tcW w:w="3400" w:type="dxa"/>
            <w:vAlign w:val="top"/>
          </w:tcPr>
          <w:p>
            <w:pPr>
              <w:pStyle w:val="7"/>
            </w:pPr>
          </w:p>
        </w:tc>
        <w:tc>
          <w:tcPr>
            <w:tcW w:w="200" w:type="dxa"/>
            <w:vAlign w:val="top"/>
          </w:tcPr>
          <w:p>
            <w:pPr>
              <w:pStyle w:val="7"/>
            </w:pPr>
          </w:p>
        </w:tc>
        <w:tc>
          <w:tcPr>
            <w:tcW w:w="7100" w:type="dxa"/>
            <w:vAlign w:val="top"/>
          </w:tcPr>
          <w:p>
            <w:pPr>
              <w:pStyle w:val="7"/>
            </w:pPr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7"/>
            </w:pPr>
          </w:p>
        </w:tc>
        <w:tc>
          <w:tcPr>
            <w:tcW w:w="107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rPr>
                <w:rFonts w:hint="eastAsia" w:eastAsia="原版宋体"/>
                <w:lang w:val="en-US" w:eastAsia="zh-CN"/>
              </w:rPr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提示</w:t>
            </w:r>
            <w:bookmarkStart w:id="1" w:name="_GoBack"/>
            <w:bookmarkEnd w:id="1"/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7"/>
            </w:pPr>
          </w:p>
        </w:tc>
        <w:tc>
          <w:tcPr>
            <w:tcW w:w="107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</w:t>
            </w:r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7"/>
            </w:pPr>
          </w:p>
        </w:tc>
        <w:tc>
          <w:tcPr>
            <w:tcW w:w="107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7"/>
            </w:pPr>
          </w:p>
        </w:tc>
        <w:tc>
          <w:tcPr>
            <w:tcW w:w="107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 w:firstLine="400"/>
              <w:rPr>
                <w:rFonts w:ascii="原版宋体" w:hAnsi="原版宋体" w:eastAsia="原版宋体" w:cs="原版宋体"/>
                <w:color w:val="000000"/>
                <w:sz w:val="20"/>
              </w:rPr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本报告期自2021年0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月01日起至0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月3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日止。</w:t>
            </w:r>
          </w:p>
          <w:p>
            <w:pPr>
              <w:ind w:firstLine="400"/>
              <w:rPr>
                <w:rFonts w:ascii="原版宋体" w:hAnsi="原版宋体" w:eastAsia="原版宋体" w:cs="原版宋体"/>
                <w:color w:val="000000"/>
                <w:sz w:val="20"/>
              </w:rPr>
            </w:pPr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7"/>
            </w:pPr>
          </w:p>
        </w:tc>
        <w:tc>
          <w:tcPr>
            <w:tcW w:w="3400" w:type="dxa"/>
            <w:vAlign w:val="top"/>
          </w:tcPr>
          <w:p>
            <w:pPr>
              <w:pStyle w:val="7"/>
            </w:pPr>
          </w:p>
        </w:tc>
        <w:tc>
          <w:tcPr>
            <w:tcW w:w="200" w:type="dxa"/>
            <w:vAlign w:val="top"/>
          </w:tcPr>
          <w:p>
            <w:pPr>
              <w:pStyle w:val="7"/>
            </w:pPr>
          </w:p>
        </w:tc>
        <w:tc>
          <w:tcPr>
            <w:tcW w:w="7100" w:type="dxa"/>
            <w:vAlign w:val="top"/>
          </w:tcPr>
          <w:p>
            <w:pPr>
              <w:pStyle w:val="7"/>
            </w:pPr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0" w:hRule="exact"/>
        </w:trPr>
        <w:tc>
          <w:tcPr>
            <w:tcW w:w="1" w:type="dxa"/>
            <w:vAlign w:val="top"/>
          </w:tcPr>
          <w:p>
            <w:pPr>
              <w:pStyle w:val="7"/>
            </w:pPr>
          </w:p>
        </w:tc>
        <w:tc>
          <w:tcPr>
            <w:tcW w:w="107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 xml:space="preserve">2  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当期理财产品发行情况</w:t>
            </w:r>
          </w:p>
          <w:p>
            <w:pPr>
              <w:spacing w:before="0" w:after="0" w:line="360" w:lineRule="auto"/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</w:pPr>
          </w:p>
          <w:p>
            <w:pPr>
              <w:spacing w:before="0" w:after="0" w:line="360" w:lineRule="auto"/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</w:pPr>
          </w:p>
          <w:p>
            <w:pPr>
              <w:spacing w:before="0" w:after="0" w:line="360" w:lineRule="auto"/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</w:pPr>
          </w:p>
          <w:p>
            <w:pPr>
              <w:spacing w:before="0" w:after="0" w:line="360" w:lineRule="auto"/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00" w:type="dxa"/>
            <w:vAlign w:val="top"/>
          </w:tcPr>
          <w:p>
            <w:pPr>
              <w:pStyle w:val="7"/>
            </w:pPr>
          </w:p>
        </w:tc>
      </w:tr>
    </w:tbl>
    <w:p>
      <w:pPr>
        <w:pStyle w:val="2"/>
        <w:spacing w:before="5"/>
        <w:rPr>
          <w:rFonts w:hint="eastAsia" w:ascii="宋体" w:hAnsi="宋体" w:eastAsia="宋体" w:cs="宋体"/>
          <w:sz w:val="14"/>
        </w:rPr>
      </w:pPr>
    </w:p>
    <w:tbl>
      <w:tblPr>
        <w:tblStyle w:val="5"/>
        <w:tblW w:w="11487" w:type="dxa"/>
        <w:tblInd w:w="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09"/>
        <w:gridCol w:w="2535"/>
        <w:gridCol w:w="5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spacing w:before="0" w:line="292" w:lineRule="exact"/>
              <w:ind w:left="5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产品类型</w:t>
            </w:r>
          </w:p>
        </w:tc>
        <w:tc>
          <w:tcPr>
            <w:tcW w:w="2535" w:type="dxa"/>
            <w:noWrap w:val="0"/>
            <w:vAlign w:val="top"/>
          </w:tcPr>
          <w:p>
            <w:pPr>
              <w:pStyle w:val="9"/>
              <w:spacing w:before="0" w:line="292" w:lineRule="exact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新发产品数量</w:t>
            </w:r>
          </w:p>
        </w:tc>
        <w:tc>
          <w:tcPr>
            <w:tcW w:w="5043" w:type="dxa"/>
            <w:noWrap w:val="0"/>
            <w:vAlign w:val="top"/>
          </w:tcPr>
          <w:p>
            <w:pPr>
              <w:pStyle w:val="9"/>
              <w:spacing w:before="0" w:line="292" w:lineRule="exact"/>
              <w:ind w:left="1281" w:firstLine="800" w:firstLineChars="400"/>
              <w:jc w:val="left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金额（万元）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tabs>
                <w:tab w:val="left" w:pos="1701"/>
              </w:tabs>
              <w:spacing w:before="0" w:line="292" w:lineRule="exact"/>
              <w:ind w:left="11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b w:val="0"/>
                <w:bCs w:val="0"/>
                <w:color w:val="000000"/>
                <w:sz w:val="20"/>
                <w:szCs w:val="22"/>
                <w:lang w:val="en-US" w:eastAsia="zh-CN" w:bidi="ar-SA"/>
              </w:rPr>
              <w:t>按募集方式：公募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2150391.60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tabs>
                <w:tab w:val="left" w:pos="1701"/>
              </w:tabs>
              <w:spacing w:before="0" w:line="292" w:lineRule="exact"/>
              <w:ind w:left="11" w:leftChars="0" w:right="0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私募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0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spacing w:before="0" w:line="294" w:lineRule="exact"/>
              <w:ind w:left="11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合计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2150391.60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spacing w:before="0" w:line="294" w:lineRule="exact"/>
              <w:ind w:left="7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按投资性质：固定收益类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2150391.60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spacing w:before="0" w:line="294" w:lineRule="exact"/>
              <w:ind w:left="6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权益类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0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spacing w:before="2" w:line="294" w:lineRule="exact"/>
              <w:ind w:left="6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商品及金融衍生品类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0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spacing w:before="0" w:line="294" w:lineRule="exact"/>
              <w:ind w:left="6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混合类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0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909" w:type="dxa"/>
            <w:noWrap w:val="0"/>
            <w:vAlign w:val="top"/>
          </w:tcPr>
          <w:p>
            <w:pPr>
              <w:pStyle w:val="9"/>
              <w:spacing w:before="0" w:line="297" w:lineRule="exact"/>
              <w:ind w:left="11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合计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2150391.60 </w:t>
            </w:r>
          </w:p>
        </w:tc>
      </w:tr>
    </w:tbl>
    <w:p>
      <w:pPr>
        <w:pStyle w:val="2"/>
        <w:spacing w:before="12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p>
      <w:pPr>
        <w:spacing w:before="0" w:after="0" w:line="360" w:lineRule="auto"/>
        <w:rPr>
          <w:rFonts w:hint="eastAsia" w:ascii="原版宋体" w:hAnsi="原版宋体" w:eastAsia="原版宋体" w:cs="原版宋体"/>
          <w:b/>
          <w:bCs/>
          <w:color w:val="000000"/>
          <w:sz w:val="20"/>
          <w:szCs w:val="22"/>
          <w:lang w:val="en-US" w:eastAsia="zh-CN" w:bidi="ar-SA"/>
        </w:rPr>
      </w:pPr>
      <w:r>
        <w:rPr>
          <w:rFonts w:hint="eastAsia" w:ascii="原版宋体" w:hAnsi="原版宋体" w:eastAsia="原版宋体" w:cs="原版宋体"/>
          <w:b/>
          <w:bCs/>
          <w:color w:val="000000"/>
          <w:sz w:val="20"/>
          <w:szCs w:val="22"/>
          <w:lang w:val="en-US" w:eastAsia="zh-CN" w:bidi="ar-SA"/>
        </w:rPr>
        <w:t>3  当期理财产品到期情况</w:t>
      </w:r>
    </w:p>
    <w:p>
      <w:pPr>
        <w:pStyle w:val="2"/>
        <w:spacing w:before="4" w:after="1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tbl>
      <w:tblPr>
        <w:tblStyle w:val="5"/>
        <w:tblW w:w="11486" w:type="dxa"/>
        <w:tblInd w:w="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1"/>
        <w:gridCol w:w="2567"/>
        <w:gridCol w:w="4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spacing w:before="0" w:line="292" w:lineRule="exact"/>
              <w:ind w:left="5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产品类型</w:t>
            </w:r>
          </w:p>
        </w:tc>
        <w:tc>
          <w:tcPr>
            <w:tcW w:w="2567" w:type="dxa"/>
            <w:noWrap w:val="0"/>
            <w:vAlign w:val="top"/>
          </w:tcPr>
          <w:p>
            <w:pPr>
              <w:pStyle w:val="9"/>
              <w:spacing w:before="0" w:line="292" w:lineRule="exact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到期产品数量</w:t>
            </w:r>
          </w:p>
        </w:tc>
        <w:tc>
          <w:tcPr>
            <w:tcW w:w="4958" w:type="dxa"/>
            <w:noWrap w:val="0"/>
            <w:vAlign w:val="top"/>
          </w:tcPr>
          <w:p>
            <w:pPr>
              <w:pStyle w:val="9"/>
              <w:spacing w:before="0" w:line="292" w:lineRule="exact"/>
              <w:ind w:left="1281" w:firstLine="600" w:firstLineChars="300"/>
              <w:jc w:val="left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金额（万元）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tabs>
                <w:tab w:val="left" w:pos="1701"/>
              </w:tabs>
              <w:spacing w:before="0" w:line="292" w:lineRule="exact"/>
              <w:ind w:left="11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按募集方式：公募</w:t>
            </w:r>
          </w:p>
        </w:tc>
        <w:tc>
          <w:tcPr>
            <w:tcW w:w="25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9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2033611.20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tabs>
                <w:tab w:val="left" w:pos="1701"/>
              </w:tabs>
              <w:spacing w:before="0" w:line="292" w:lineRule="exact"/>
              <w:ind w:left="11" w:leftChars="0" w:right="0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私募</w:t>
            </w:r>
          </w:p>
        </w:tc>
        <w:tc>
          <w:tcPr>
            <w:tcW w:w="25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9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50000.00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spacing w:before="0" w:line="294" w:lineRule="exact"/>
              <w:ind w:left="11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合计</w:t>
            </w:r>
          </w:p>
        </w:tc>
        <w:tc>
          <w:tcPr>
            <w:tcW w:w="25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9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2083611.20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spacing w:before="0" w:line="294" w:lineRule="exact"/>
              <w:ind w:left="7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按投资性质：固定收益类</w:t>
            </w:r>
          </w:p>
        </w:tc>
        <w:tc>
          <w:tcPr>
            <w:tcW w:w="25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9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2083611.20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spacing w:before="0" w:line="294" w:lineRule="exact"/>
              <w:ind w:left="6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权益类</w:t>
            </w:r>
          </w:p>
        </w:tc>
        <w:tc>
          <w:tcPr>
            <w:tcW w:w="25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9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spacing w:before="2" w:line="294" w:lineRule="exact"/>
              <w:ind w:left="6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商品及金融衍生品类</w:t>
            </w:r>
          </w:p>
        </w:tc>
        <w:tc>
          <w:tcPr>
            <w:tcW w:w="25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9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spacing w:before="0" w:line="294" w:lineRule="exact"/>
              <w:ind w:left="6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混合类</w:t>
            </w:r>
          </w:p>
        </w:tc>
        <w:tc>
          <w:tcPr>
            <w:tcW w:w="25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9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961" w:type="dxa"/>
            <w:noWrap w:val="0"/>
            <w:vAlign w:val="top"/>
          </w:tcPr>
          <w:p>
            <w:pPr>
              <w:pStyle w:val="9"/>
              <w:spacing w:before="0" w:line="297" w:lineRule="exact"/>
              <w:ind w:left="11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合计</w:t>
            </w:r>
          </w:p>
        </w:tc>
        <w:tc>
          <w:tcPr>
            <w:tcW w:w="256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9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2083611.20 </w:t>
            </w:r>
          </w:p>
        </w:tc>
      </w:tr>
    </w:tbl>
    <w:p>
      <w:pPr>
        <w:pStyle w:val="2"/>
        <w:spacing w:before="12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p>
      <w:pPr>
        <w:pStyle w:val="2"/>
        <w:spacing w:before="12"/>
        <w:rPr>
          <w:rFonts w:hint="eastAsia" w:ascii="原版宋体" w:hAnsi="原版宋体" w:eastAsia="原版宋体" w:cs="原版宋体"/>
          <w:b/>
          <w:bCs/>
          <w:color w:val="000000"/>
          <w:sz w:val="20"/>
          <w:szCs w:val="22"/>
          <w:lang w:val="en-US" w:eastAsia="zh-CN" w:bidi="ar-SA"/>
        </w:rPr>
      </w:pPr>
    </w:p>
    <w:p>
      <w:pPr>
        <w:spacing w:before="0" w:after="0" w:line="360" w:lineRule="auto"/>
        <w:rPr>
          <w:rFonts w:hint="eastAsia" w:ascii="原版宋体" w:hAnsi="原版宋体" w:eastAsia="原版宋体" w:cs="原版宋体"/>
          <w:b/>
          <w:bCs/>
          <w:color w:val="000000"/>
          <w:sz w:val="20"/>
          <w:szCs w:val="22"/>
          <w:lang w:val="en-US" w:eastAsia="zh-CN" w:bidi="ar-SA"/>
        </w:rPr>
      </w:pPr>
      <w:r>
        <w:rPr>
          <w:rFonts w:hint="eastAsia" w:ascii="原版宋体" w:hAnsi="原版宋体" w:eastAsia="原版宋体" w:cs="原版宋体"/>
          <w:b/>
          <w:bCs/>
          <w:color w:val="000000"/>
          <w:sz w:val="20"/>
          <w:szCs w:val="22"/>
          <w:lang w:val="en-US" w:eastAsia="zh-CN" w:bidi="ar-SA"/>
        </w:rPr>
        <w:t>4  期末存续理财产品情况</w:t>
      </w:r>
    </w:p>
    <w:p>
      <w:pPr>
        <w:pStyle w:val="2"/>
        <w:spacing w:before="5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tbl>
      <w:tblPr>
        <w:tblStyle w:val="5"/>
        <w:tblW w:w="11486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8"/>
        <w:gridCol w:w="1338"/>
        <w:gridCol w:w="2411"/>
        <w:gridCol w:w="1275"/>
        <w:gridCol w:w="1578"/>
        <w:gridCol w:w="14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34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360" w:lineRule="exact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产品类型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360" w:lineRule="exact"/>
              <w:ind w:left="152" w:right="144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存续产品数量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295" w:lineRule="exact"/>
              <w:ind w:left="256" w:right="244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金额</w:t>
            </w:r>
          </w:p>
          <w:p>
            <w:pPr>
              <w:pStyle w:val="9"/>
              <w:spacing w:before="0" w:line="306" w:lineRule="exact"/>
              <w:ind w:left="253" w:right="246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（万元）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295" w:lineRule="exact"/>
              <w:ind w:left="322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金额</w:t>
            </w:r>
          </w:p>
          <w:p>
            <w:pPr>
              <w:pStyle w:val="9"/>
              <w:spacing w:before="0" w:line="306" w:lineRule="exact"/>
              <w:ind w:left="322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占比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295" w:lineRule="exact"/>
              <w:ind w:left="135" w:right="13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上期末</w:t>
            </w:r>
          </w:p>
          <w:p>
            <w:pPr>
              <w:pStyle w:val="9"/>
              <w:spacing w:before="0" w:line="306" w:lineRule="exact"/>
              <w:ind w:left="137" w:right="13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金额占比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295" w:lineRule="exact"/>
              <w:ind w:left="148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金额占</w:t>
            </w:r>
          </w:p>
          <w:p>
            <w:pPr>
              <w:pStyle w:val="9"/>
              <w:spacing w:before="0" w:line="306" w:lineRule="exact"/>
              <w:ind w:left="148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比变动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4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tabs>
                <w:tab w:val="left" w:pos="1698"/>
              </w:tabs>
              <w:spacing w:before="0" w:line="292" w:lineRule="exact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按募集方式：公募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ind w:left="152" w:right="144"/>
              <w:jc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  <w:t>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1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2052876.3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95.98%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93.44%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4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292" w:lineRule="exact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私募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ind w:left="152" w:right="144"/>
              <w:jc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6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86000</w:t>
            </w:r>
            <w:r>
              <w:rPr>
                <w:rFonts w:hint="eastAsia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4.02%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6.56%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-2.54%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4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292" w:lineRule="exact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合计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ind w:left="152" w:right="144"/>
              <w:jc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  <w:t>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7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2138876.30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4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294" w:lineRule="exact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按投资性质：固定收益类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line="279" w:lineRule="exact"/>
              <w:ind w:left="152" w:right="144"/>
              <w:jc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  <w:t>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7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line="279" w:lineRule="exact"/>
              <w:jc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2138876.30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line="279" w:lineRule="exact"/>
              <w:ind w:left="137" w:right="129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100.00%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45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="0" w:line="292" w:lineRule="exact"/>
              <w:ind w:left="8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权益类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ind w:left="7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ind w:left="7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ind w:left="5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ind w:left="8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ind w:left="9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45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spacing w:before="0" w:line="292" w:lineRule="exact"/>
              <w:ind w:left="8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商品及金融衍生品类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7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7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5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8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9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45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spacing w:before="0" w:line="292" w:lineRule="exact"/>
              <w:ind w:left="8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混合类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7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7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5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8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ind w:left="9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45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spacing w:before="0" w:line="294" w:lineRule="exact"/>
              <w:ind w:left="8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合计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spacing w:before="17"/>
              <w:jc w:val="center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37</w:t>
            </w:r>
          </w:p>
        </w:tc>
        <w:tc>
          <w:tcPr>
            <w:tcW w:w="2411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spacing w:before="17"/>
              <w:ind w:right="246" w:righ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2138876.30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spacing w:before="17"/>
              <w:ind w:left="160" w:leftChars="0" w:right="155" w:righ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100.00%</w:t>
            </w:r>
          </w:p>
        </w:tc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spacing w:before="17"/>
              <w:ind w:left="137" w:leftChars="0" w:right="129" w:righ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100.00%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spacing w:before="17"/>
              <w:ind w:left="9" w:leftChars="0"/>
              <w:jc w:val="center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-</w:t>
            </w:r>
          </w:p>
        </w:tc>
      </w:tr>
    </w:tbl>
    <w:p>
      <w:pPr>
        <w:spacing w:after="0" w:line="279" w:lineRule="exact"/>
        <w:jc w:val="right"/>
        <w:rPr>
          <w:rFonts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p>
      <w:pPr>
        <w:spacing w:after="0" w:line="279" w:lineRule="exact"/>
        <w:jc w:val="right"/>
        <w:rPr>
          <w:rFonts w:ascii="原版宋体" w:hAnsi="原版宋体" w:eastAsia="原版宋体" w:cs="原版宋体"/>
          <w:color w:val="000000"/>
          <w:sz w:val="20"/>
          <w:szCs w:val="22"/>
          <w:highlight w:val="yellow"/>
          <w:lang w:val="en-US" w:eastAsia="zh-CN" w:bidi="ar-SA"/>
        </w:rPr>
      </w:pPr>
    </w:p>
    <w:p>
      <w:pPr>
        <w:spacing w:before="0" w:after="0" w:line="360" w:lineRule="auto"/>
        <w:rPr>
          <w:rFonts w:hint="eastAsia" w:ascii="原版宋体" w:hAnsi="原版宋体" w:eastAsia="原版宋体" w:cs="原版宋体"/>
          <w:b/>
          <w:bCs/>
          <w:color w:val="000000"/>
          <w:sz w:val="20"/>
          <w:szCs w:val="22"/>
          <w:highlight w:val="none"/>
          <w:lang w:val="en-US" w:eastAsia="zh-CN" w:bidi="ar-SA"/>
        </w:rPr>
      </w:pPr>
      <w:r>
        <w:rPr>
          <w:rFonts w:hint="eastAsia" w:ascii="原版宋体" w:hAnsi="原版宋体" w:eastAsia="原版宋体" w:cs="原版宋体"/>
          <w:b/>
          <w:bCs/>
          <w:color w:val="000000"/>
          <w:sz w:val="20"/>
          <w:szCs w:val="22"/>
          <w:highlight w:val="none"/>
          <w:lang w:val="en-US" w:eastAsia="zh-CN" w:bidi="ar-SA"/>
        </w:rPr>
        <w:t>5  理财产品投资资产情况</w:t>
      </w:r>
    </w:p>
    <w:p>
      <w:pPr>
        <w:pStyle w:val="2"/>
        <w:spacing w:before="5"/>
        <w:rPr>
          <w:rFonts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tbl>
      <w:tblPr>
        <w:tblStyle w:val="5"/>
        <w:tblW w:w="11486" w:type="dxa"/>
        <w:tblInd w:w="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7"/>
        <w:gridCol w:w="2590"/>
        <w:gridCol w:w="4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spacing w:before="0" w:beforeLines="0" w:line="292" w:lineRule="exact"/>
              <w:ind w:left="657" w:leftChars="0" w:right="654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资产类别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pStyle w:val="9"/>
              <w:spacing w:before="0" w:beforeLines="0" w:line="292" w:lineRule="exact"/>
              <w:ind w:left="340" w:leftChars="0" w:right="334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金额（万元）</w:t>
            </w:r>
          </w:p>
        </w:tc>
        <w:tc>
          <w:tcPr>
            <w:tcW w:w="4939" w:type="dxa"/>
            <w:noWrap w:val="0"/>
            <w:vAlign w:val="top"/>
          </w:tcPr>
          <w:p>
            <w:pPr>
              <w:pStyle w:val="9"/>
              <w:ind w:left="392" w:leftChars="0" w:right="272" w:rightChars="0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/>
              </w:rPr>
              <w:t>占比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ind w:left="662" w:leftChars="0" w:right="654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现金及货币市场工具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99,487.36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4.23%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ind w:left="660" w:leftChars="0" w:right="654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债券类资产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1,805,340.86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76.77%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ind w:left="662" w:leftChars="0" w:right="654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非标准化债权类资产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167,798.21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7.14%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spacing w:before="17" w:beforeLines="0"/>
              <w:ind w:left="662" w:leftChars="0" w:right="654" w:rightChars="0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  <w:t>信贷资产收益权转让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1,947.28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0.08%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spacing w:before="17" w:beforeLines="0"/>
              <w:ind w:left="662" w:leftChars="0" w:right="654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理财直接融资工具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277,106.24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11.78%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ind w:left="660" w:leftChars="0" w:right="654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资产管理计划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ind w:left="660" w:leftChars="0" w:right="654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权益类投资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ind w:left="662" w:leftChars="0" w:right="653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其他资产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2,351,679.95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3957" w:type="dxa"/>
            <w:noWrap w:val="0"/>
            <w:vAlign w:val="top"/>
          </w:tcPr>
          <w:p>
            <w:pPr>
              <w:pStyle w:val="9"/>
              <w:spacing w:before="0" w:beforeLines="0" w:line="292" w:lineRule="exact"/>
              <w:ind w:left="662" w:leftChars="0" w:right="653" w:rightChars="0"/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bidi="ar-SA"/>
              </w:rPr>
              <w:t>合计</w:t>
            </w:r>
          </w:p>
        </w:tc>
        <w:tc>
          <w:tcPr>
            <w:tcW w:w="25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原版宋体" w:hAnsi="原版宋体" w:eastAsia="原版宋体" w:cs="原版宋体"/>
                <w:color w:val="000000"/>
                <w:sz w:val="20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99,487.36</w:t>
            </w:r>
          </w:p>
        </w:tc>
        <w:tc>
          <w:tcPr>
            <w:tcW w:w="493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default" w:ascii="原版宋体" w:hAnsi="原版宋体" w:eastAsia="原版宋体" w:cs="原版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4.23%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  <w:r>
        <w:rPr>
          <w:rFonts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备注：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  <w:r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当期理财产品发行情况数据范围</w:t>
      </w:r>
      <w:r>
        <w:rPr>
          <w:rFonts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为</w:t>
      </w:r>
      <w:r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报告期内新发行的非保本理财产品、新发产品数量以及在报告期内的非保本理财产品申购数据。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  <w:r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当期理财产品到期情况数据范围为报告期内到期的非保本理财产品、到期产品数量以及在报告期内的非保本理财产品赎回数据。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  <w:r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期末存续理财产品情况数据范围为报告期末</w:t>
      </w:r>
      <w:r>
        <w:rPr>
          <w:rFonts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存续的非保本理财产品</w:t>
      </w:r>
      <w:r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  <w:r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理财产品投资资产情况数据范围为</w:t>
      </w:r>
      <w:r>
        <w:rPr>
          <w:rFonts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报告期末存续的</w:t>
      </w:r>
      <w:r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  <w:t>非保本理财产品。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tbl>
      <w:tblPr>
        <w:tblStyle w:val="5"/>
        <w:tblW w:w="11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700"/>
        <w:gridCol w:w="8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exact"/>
        </w:trPr>
        <w:tc>
          <w:tcPr>
            <w:tcW w:w="10700" w:type="dxa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江苏张家港农村商业银行股份有限公司</w:t>
            </w:r>
            <w:r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 xml:space="preserve">                  </w:t>
            </w:r>
          </w:p>
        </w:tc>
        <w:tc>
          <w:tcPr>
            <w:tcW w:w="800" w:type="dxa"/>
            <w:vAlign w:val="top"/>
          </w:tcPr>
          <w:p>
            <w:pPr>
              <w:pStyle w:val="7"/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exact"/>
        </w:trPr>
        <w:tc>
          <w:tcPr>
            <w:tcW w:w="10700" w:type="dxa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  <w:r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202</w:t>
            </w:r>
            <w:r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eastAsia="zh-CN" w:bidi="ar-SA"/>
              </w:rPr>
              <w:t>1</w:t>
            </w:r>
            <w:r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年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09</w:t>
            </w:r>
            <w:r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月3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0</w:t>
            </w:r>
            <w:r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  <w:t>日</w:t>
            </w:r>
          </w:p>
        </w:tc>
        <w:tc>
          <w:tcPr>
            <w:tcW w:w="800" w:type="dxa"/>
            <w:vAlign w:val="top"/>
          </w:tcPr>
          <w:p>
            <w:pPr>
              <w:pStyle w:val="7"/>
              <w:rPr>
                <w:rFonts w:ascii="原版宋体" w:hAnsi="原版宋体" w:eastAsia="原版宋体" w:cs="原版宋体"/>
                <w:color w:val="000000"/>
                <w:sz w:val="20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原版宋体" w:hAnsi="原版宋体" w:eastAsia="原版宋体" w:cs="原版宋体"/>
          <w:color w:val="000000"/>
          <w:sz w:val="20"/>
          <w:szCs w:val="22"/>
          <w:lang w:val="en-US" w:eastAsia="zh-CN" w:bidi="ar-SA"/>
        </w:rPr>
      </w:pPr>
    </w:p>
    <w:sectPr>
      <w:pgSz w:w="13900" w:h="16840"/>
      <w:pgMar w:top="800" w:right="1200" w:bottom="440" w:left="120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Sans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800"/>
  <w:displayHorizontalDrawingGridEvery w:val="1"/>
  <w:displayVerticalDrawingGridEvery w:val="1"/>
  <w:noPunctuationKerning w:val="1"/>
  <w:characterSpacingControl w:val="compressPunctuation"/>
  <w:compat>
    <w:spaceForUL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MGY3ZTNjN2UwN2FmYjViOTZlODcwYWQ5OTE2OWQifQ=="/>
  </w:docVars>
  <w:rsids>
    <w:rsidRoot w:val="00000000"/>
    <w:rsid w:val="039F0380"/>
    <w:rsid w:val="04762B07"/>
    <w:rsid w:val="13C73F69"/>
    <w:rsid w:val="1956199E"/>
    <w:rsid w:val="1B0D4720"/>
    <w:rsid w:val="21265A1F"/>
    <w:rsid w:val="21F76EA6"/>
    <w:rsid w:val="25C408D6"/>
    <w:rsid w:val="296A63E6"/>
    <w:rsid w:val="2B7523B9"/>
    <w:rsid w:val="2BE961CF"/>
    <w:rsid w:val="31E622EC"/>
    <w:rsid w:val="34B37548"/>
    <w:rsid w:val="37F93F3B"/>
    <w:rsid w:val="3AA711E3"/>
    <w:rsid w:val="3AB708BC"/>
    <w:rsid w:val="3D7E3F2F"/>
    <w:rsid w:val="3DEC3823"/>
    <w:rsid w:val="3E585271"/>
    <w:rsid w:val="3F684C6F"/>
    <w:rsid w:val="3FC512A1"/>
    <w:rsid w:val="40F75724"/>
    <w:rsid w:val="423000F4"/>
    <w:rsid w:val="42CC11D8"/>
    <w:rsid w:val="4A681179"/>
    <w:rsid w:val="4B9F93C3"/>
    <w:rsid w:val="4DA42F89"/>
    <w:rsid w:val="4DA54097"/>
    <w:rsid w:val="4FA76C26"/>
    <w:rsid w:val="509756AA"/>
    <w:rsid w:val="52761FF7"/>
    <w:rsid w:val="52F923C0"/>
    <w:rsid w:val="56954F97"/>
    <w:rsid w:val="60275C73"/>
    <w:rsid w:val="629403B9"/>
    <w:rsid w:val="6ABD2B40"/>
    <w:rsid w:val="74950010"/>
    <w:rsid w:val="7800506C"/>
    <w:rsid w:val="78C84AEA"/>
    <w:rsid w:val="A62FB88E"/>
    <w:rsid w:val="EFFD3F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24"/>
      <w:szCs w:val="24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EMPTY_CELL_STYLE"/>
    <w:autoRedefine/>
    <w:qFormat/>
    <w:uiPriority w:val="0"/>
    <w:pPr>
      <w:spacing w:line="240" w:lineRule="auto"/>
    </w:pPr>
    <w:rPr>
      <w:rFonts w:ascii="SansSerif" w:hAnsi="SansSerif" w:eastAsia="SansSerif" w:cs="SansSerif"/>
      <w:color w:val="000000"/>
      <w:sz w:val="1"/>
      <w:szCs w:val="22"/>
      <w:lang w:val="en-US" w:eastAsia="zh-CN" w:bidi="ar-SA"/>
    </w:rPr>
  </w:style>
  <w:style w:type="paragraph" w:customStyle="1" w:styleId="8">
    <w:name w:val="List Paragraph"/>
    <w:basedOn w:val="1"/>
    <w:autoRedefine/>
    <w:qFormat/>
    <w:uiPriority w:val="1"/>
    <w:pPr>
      <w:ind w:left="840" w:hanging="361"/>
    </w:pPr>
    <w:rPr>
      <w:rFonts w:ascii="Microsoft JhengHei" w:hAnsi="Microsoft JhengHei" w:eastAsia="Microsoft JhengHei" w:cs="Microsoft JhengHei"/>
      <w:lang w:val="zh-CN" w:eastAsia="zh-CN" w:bidi="zh-CN"/>
    </w:rPr>
  </w:style>
  <w:style w:type="paragraph" w:customStyle="1" w:styleId="9">
    <w:name w:val="Table Paragraph"/>
    <w:basedOn w:val="1"/>
    <w:autoRedefine/>
    <w:qFormat/>
    <w:uiPriority w:val="1"/>
    <w:pPr>
      <w:spacing w:before="15" w:line="277" w:lineRule="exact"/>
      <w:ind w:left="8"/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2020-04-02T18:01:00Z</dcterms:created>
  <dc:creator>zrcbank</dc:creator>
  <cp:lastModifiedBy>cly</cp:lastModifiedBy>
  <dcterms:modified xsi:type="dcterms:W3CDTF">2021-10-13T08:14:01Z</dcterms:modified>
  <dc:title>zrcbank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866234F2E2D44658A24BC889213B49C7</vt:lpwstr>
  </property>
</Properties>
</file>