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张家港农村商业银行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产品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调整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理财产品业绩报酬计提要素，并于2024年4月30日启用：</w:t>
      </w:r>
    </w:p>
    <w:tbl>
      <w:tblPr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业绩报酬计提阈值R1为2.6%，R2为2.8%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超额业绩报酬计提阈值P1为0%，P2为80%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业绩报酬计提阈值R1为2.30%%，R2为2.60%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超额业绩报酬计提阈值P1为0%，P2为90%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2024年4月22日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4AA56DB1"/>
    <w:rsid w:val="3337520E"/>
    <w:rsid w:val="35082028"/>
    <w:rsid w:val="3FED5201"/>
    <w:rsid w:val="4AA56DB1"/>
    <w:rsid w:val="5A4D48DA"/>
    <w:rsid w:val="6557022A"/>
    <w:rsid w:val="762B24C6"/>
    <w:rsid w:val="7E8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dcterms:modified xsi:type="dcterms:W3CDTF">2024-04-22T02:38:22Z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7F575C679CC34F14AA07AA60EF252FFD_12</vt:lpwstr>
  </property>
</Properties>
</file>