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eastAsia="宋体"/>
          <w:lang w:val="en-US"/>
        </w:rPr>
      </w:pPr>
      <w:bookmarkStart w:id="0" w:name="_GoBack"/>
      <w:r>
        <w:rPr>
          <w:rFonts w:hint="eastAsia" w:ascii="宋体" w:hAnsi="宋体" w:eastAsia="宋体"/>
          <w:sz w:val="28"/>
          <w:szCs w:val="32"/>
          <w:lang w:eastAsia="zh-CN"/>
        </w:rPr>
        <w:t>华鑫信托·建业168号</w:t>
      </w:r>
      <w:r>
        <w:rPr>
          <w:rFonts w:hint="eastAsia" w:ascii="宋体" w:hAnsi="宋体" w:eastAsia="宋体"/>
          <w:sz w:val="28"/>
          <w:szCs w:val="32"/>
        </w:rPr>
        <w:t>集合资金信托计划</w:t>
      </w:r>
      <w:r>
        <w:rPr>
          <w:rFonts w:hint="eastAsia" w:ascii="宋体" w:hAnsi="宋体" w:eastAsia="宋体"/>
          <w:sz w:val="28"/>
          <w:szCs w:val="32"/>
          <w:lang w:eastAsia="zh-CN"/>
        </w:rPr>
        <w:t>募集公告</w:t>
      </w:r>
      <w:bookmarkEnd w:id="0"/>
    </w:p>
    <w:tbl>
      <w:tblPr>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607"/>
        <w:gridCol w:w="2835"/>
        <w:gridCol w:w="1780"/>
      </w:tblGrid>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产品名称、合同编号及信托登编码</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产品名称：</w:t>
            </w:r>
            <w:r>
              <w:rPr>
                <w:rFonts w:hint="eastAsia" w:ascii="宋体" w:hAnsi="宋体" w:eastAsia="宋体"/>
                <w:sz w:val="24"/>
                <w:szCs w:val="24"/>
                <w:lang w:eastAsia="zh-CN"/>
              </w:rPr>
              <w:t>华鑫信托·建业168号</w:t>
            </w:r>
            <w:r>
              <w:rPr>
                <w:rFonts w:ascii="宋体" w:hAnsi="宋体" w:eastAsia="宋体"/>
                <w:sz w:val="24"/>
                <w:szCs w:val="24"/>
              </w:rPr>
              <w:t>集合资金信托计划</w:t>
            </w:r>
          </w:p>
          <w:p>
            <w:pPr>
              <w:spacing w:line="360" w:lineRule="auto"/>
              <w:rPr>
                <w:rFonts w:ascii="宋体" w:hAnsi="宋体" w:eastAsia="宋体"/>
                <w:sz w:val="24"/>
                <w:szCs w:val="24"/>
                <w:lang w:val="en-US"/>
              </w:rPr>
            </w:pPr>
            <w:r>
              <w:rPr>
                <w:rFonts w:hint="eastAsia" w:ascii="宋体" w:hAnsi="宋体" w:eastAsia="宋体"/>
                <w:sz w:val="24"/>
                <w:szCs w:val="24"/>
              </w:rPr>
              <w:t>信托合同编号：</w:t>
            </w:r>
            <w:r>
              <w:rPr>
                <w:rFonts w:hint="eastAsia" w:ascii="宋体" w:hAnsi="宋体" w:eastAsia="宋体"/>
                <w:sz w:val="24"/>
                <w:szCs w:val="24"/>
                <w:lang w:eastAsia="zh-CN"/>
              </w:rPr>
              <w:t>华鑫集信字</w:t>
            </w:r>
            <w:r>
              <w:rPr>
                <w:rFonts w:hint="eastAsia" w:ascii="宋体" w:hAnsi="宋体" w:eastAsia="宋体"/>
                <w:sz w:val="24"/>
                <w:szCs w:val="24"/>
                <w:lang w:val="en-US" w:eastAsia="zh-CN"/>
              </w:rPr>
              <w:t>2024287号-信托</w:t>
            </w:r>
          </w:p>
          <w:p>
            <w:pPr>
              <w:spacing w:line="360" w:lineRule="auto"/>
              <w:rPr>
                <w:rFonts w:hint="eastAsia" w:ascii="宋体" w:hAnsi="宋体" w:eastAsia="宋体"/>
                <w:sz w:val="24"/>
                <w:szCs w:val="24"/>
              </w:rPr>
            </w:pPr>
            <w:r>
              <w:rPr>
                <w:rFonts w:hint="eastAsia" w:ascii="宋体" w:hAnsi="宋体" w:eastAsia="宋体"/>
                <w:sz w:val="24"/>
                <w:szCs w:val="24"/>
              </w:rPr>
              <w:t>信托登记编码：</w:t>
            </w:r>
            <w:r>
              <w:rPr>
                <w:rFonts w:hint="eastAsia" w:ascii="宋体" w:hAnsi="宋体" w:eastAsia="宋体"/>
                <w:sz w:val="24"/>
                <w:szCs w:val="24"/>
                <w:highlight w:val="none"/>
                <w:lang w:val="en-US" w:eastAsia="zh-CN"/>
              </w:rPr>
              <w:t>ZXD39H202403010094477</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产品类型</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napToGrid w:val="0"/>
                <w:kern w:val="0"/>
                <w:sz w:val="24"/>
                <w:szCs w:val="24"/>
              </w:rPr>
              <w:t>固定收益类集合资金信托计划</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风险等级</w:t>
            </w:r>
          </w:p>
        </w:tc>
        <w:tc>
          <w:tcPr>
            <w:tcW w:w="1607" w:type="dxa"/>
            <w:vAlign w:val="top"/>
          </w:tcPr>
          <w:p>
            <w:pPr>
              <w:spacing w:line="360" w:lineRule="auto"/>
              <w:rPr>
                <w:rFonts w:ascii="宋体" w:hAnsi="宋体" w:eastAsia="宋体"/>
                <w:sz w:val="24"/>
                <w:szCs w:val="24"/>
              </w:rPr>
            </w:pPr>
            <w:r>
              <w:rPr>
                <w:rFonts w:hint="eastAsia" w:ascii="宋体" w:hAnsi="宋体" w:eastAsia="宋体"/>
                <w:sz w:val="24"/>
                <w:szCs w:val="24"/>
              </w:rPr>
              <w:t>R</w:t>
            </w:r>
            <w:r>
              <w:rPr>
                <w:rFonts w:ascii="宋体" w:hAnsi="宋体" w:eastAsia="宋体"/>
                <w:sz w:val="24"/>
                <w:szCs w:val="24"/>
              </w:rPr>
              <w:t>3</w:t>
            </w:r>
            <w:r>
              <w:rPr>
                <w:rFonts w:hint="eastAsia" w:ascii="宋体" w:hAnsi="宋体" w:eastAsia="宋体"/>
                <w:sz w:val="24"/>
                <w:szCs w:val="24"/>
              </w:rPr>
              <w:t>级中风险</w:t>
            </w:r>
          </w:p>
        </w:tc>
        <w:tc>
          <w:tcPr>
            <w:tcW w:w="2835" w:type="dxa"/>
            <w:vAlign w:val="top"/>
          </w:tcPr>
          <w:p>
            <w:pPr>
              <w:spacing w:line="360" w:lineRule="auto"/>
              <w:rPr>
                <w:rFonts w:ascii="宋体" w:hAnsi="宋体" w:eastAsia="宋体"/>
                <w:sz w:val="24"/>
                <w:szCs w:val="24"/>
              </w:rPr>
            </w:pPr>
            <w:r>
              <w:rPr>
                <w:rFonts w:hint="eastAsia" w:ascii="宋体" w:hAnsi="宋体" w:eastAsia="宋体"/>
                <w:sz w:val="24"/>
                <w:szCs w:val="24"/>
              </w:rPr>
              <w:t>信托公司内部风险等级</w:t>
            </w:r>
          </w:p>
        </w:tc>
        <w:tc>
          <w:tcPr>
            <w:tcW w:w="1780" w:type="dxa"/>
            <w:vAlign w:val="top"/>
          </w:tcPr>
          <w:p>
            <w:pPr>
              <w:spacing w:line="360" w:lineRule="auto"/>
              <w:rPr>
                <w:rFonts w:ascii="宋体" w:hAnsi="宋体" w:eastAsia="宋体"/>
                <w:sz w:val="24"/>
                <w:szCs w:val="24"/>
              </w:rPr>
            </w:pPr>
            <w:r>
              <w:rPr>
                <w:rFonts w:hint="eastAsia" w:ascii="宋体" w:hAnsi="宋体" w:eastAsia="宋体"/>
                <w:sz w:val="24"/>
                <w:szCs w:val="24"/>
              </w:rPr>
              <w:t>R</w:t>
            </w:r>
            <w:r>
              <w:rPr>
                <w:rFonts w:ascii="宋体" w:hAnsi="宋体" w:eastAsia="宋体"/>
                <w:sz w:val="24"/>
                <w:szCs w:val="24"/>
              </w:rPr>
              <w:t>3</w:t>
            </w:r>
            <w:r>
              <w:rPr>
                <w:rFonts w:hint="eastAsia" w:ascii="宋体" w:hAnsi="宋体" w:eastAsia="宋体"/>
                <w:sz w:val="24"/>
                <w:szCs w:val="24"/>
              </w:rPr>
              <w:t>级中风险</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受托管理人</w:t>
            </w:r>
          </w:p>
        </w:tc>
        <w:tc>
          <w:tcPr>
            <w:tcW w:w="6222" w:type="dxa"/>
            <w:gridSpan w:val="3"/>
            <w:vAlign w:val="top"/>
          </w:tcPr>
          <w:p>
            <w:p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华鑫国际信托有限公司</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存续期限</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1年期</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投资范围</w:t>
            </w:r>
          </w:p>
        </w:tc>
        <w:tc>
          <w:tcPr>
            <w:tcW w:w="6222" w:type="dxa"/>
            <w:gridSpan w:val="3"/>
            <w:vAlign w:val="top"/>
          </w:tcPr>
          <w:p>
            <w:pPr>
              <w:pStyle w:val="6"/>
              <w:numPr>
                <w:numId w:val="0"/>
              </w:numPr>
              <w:spacing w:line="360" w:lineRule="auto"/>
              <w:ind w:leftChars="0"/>
              <w:rPr>
                <w:rFonts w:ascii="宋体" w:hAnsi="宋体" w:eastAsia="宋体"/>
                <w:sz w:val="24"/>
                <w:szCs w:val="24"/>
              </w:rPr>
            </w:pPr>
            <w:r>
              <w:rPr>
                <w:rFonts w:hint="eastAsia" w:ascii="宋体" w:hAnsi="宋体" w:eastAsia="宋体"/>
                <w:sz w:val="24"/>
                <w:szCs w:val="24"/>
              </w:rPr>
              <w:t>向借款人</w:t>
            </w:r>
            <w:r>
              <w:rPr>
                <w:rFonts w:hint="eastAsia" w:ascii="宋体" w:hAnsi="宋体" w:eastAsia="宋体"/>
                <w:sz w:val="24"/>
                <w:szCs w:val="24"/>
                <w:lang w:eastAsia="zh-CN"/>
              </w:rPr>
              <w:t>无锡市太湖新城资产经营管理有限公司</w:t>
            </w:r>
            <w:r>
              <w:rPr>
                <w:rFonts w:hint="eastAsia" w:ascii="宋体" w:hAnsi="宋体" w:eastAsia="宋体"/>
                <w:sz w:val="24"/>
                <w:szCs w:val="24"/>
              </w:rPr>
              <w:t>发放信托贷款。</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增信措施</w:t>
            </w:r>
          </w:p>
        </w:tc>
        <w:tc>
          <w:tcPr>
            <w:tcW w:w="6222" w:type="dxa"/>
            <w:gridSpan w:val="3"/>
            <w:vAlign w:val="top"/>
          </w:tcPr>
          <w:p>
            <w:p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无锡市太湖新城发展集团有限公司提供不可撤销的连带责任保证担保</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投资起点</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人民币1</w:t>
            </w:r>
            <w:r>
              <w:rPr>
                <w:rFonts w:ascii="宋体" w:hAnsi="宋体" w:eastAsia="宋体"/>
                <w:sz w:val="24"/>
                <w:szCs w:val="24"/>
              </w:rPr>
              <w:t>00</w:t>
            </w:r>
            <w:r>
              <w:rPr>
                <w:rFonts w:hint="eastAsia" w:ascii="宋体" w:hAnsi="宋体" w:eastAsia="宋体"/>
                <w:sz w:val="24"/>
                <w:szCs w:val="24"/>
              </w:rPr>
              <w:t>万元起，并以1</w:t>
            </w:r>
            <w:r>
              <w:rPr>
                <w:rFonts w:ascii="宋体" w:hAnsi="宋体" w:eastAsia="宋体"/>
                <w:sz w:val="24"/>
                <w:szCs w:val="24"/>
              </w:rPr>
              <w:t>0</w:t>
            </w:r>
            <w:r>
              <w:rPr>
                <w:rFonts w:hint="eastAsia" w:ascii="宋体" w:hAnsi="宋体" w:eastAsia="宋体"/>
                <w:sz w:val="24"/>
                <w:szCs w:val="24"/>
              </w:rPr>
              <w:t>万元的整数倍递增</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业绩基准</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lang w:val="en-US" w:eastAsia="zh-CN"/>
              </w:rPr>
              <w:t>3.9</w:t>
            </w:r>
            <w:r>
              <w:rPr>
                <w:rFonts w:hint="eastAsia" w:ascii="宋体" w:hAnsi="宋体" w:eastAsia="宋体"/>
                <w:sz w:val="24"/>
                <w:szCs w:val="24"/>
              </w:rPr>
              <w:t>%</w:t>
            </w:r>
            <w:r>
              <w:rPr>
                <w:rFonts w:ascii="宋体" w:hAnsi="宋体" w:eastAsia="宋体"/>
                <w:sz w:val="24"/>
                <w:szCs w:val="24"/>
              </w:rPr>
              <w:t>/</w:t>
            </w:r>
            <w:r>
              <w:rPr>
                <w:rFonts w:hint="eastAsia" w:ascii="宋体" w:hAnsi="宋体" w:eastAsia="宋体"/>
                <w:sz w:val="24"/>
                <w:szCs w:val="24"/>
              </w:rPr>
              <w:t>年</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代销规模</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lang w:val="en-US" w:eastAsia="zh-CN"/>
              </w:rPr>
              <w:t>10</w:t>
            </w:r>
            <w:r>
              <w:rPr>
                <w:rFonts w:ascii="宋体" w:hAnsi="宋体" w:eastAsia="宋体"/>
                <w:sz w:val="24"/>
                <w:szCs w:val="24"/>
              </w:rPr>
              <w:t>000</w:t>
            </w:r>
            <w:r>
              <w:rPr>
                <w:rFonts w:hint="eastAsia" w:ascii="宋体" w:hAnsi="宋体" w:eastAsia="宋体"/>
                <w:sz w:val="24"/>
                <w:szCs w:val="24"/>
              </w:rPr>
              <w:t>万元</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退出方式</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到期退出</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投资者费用</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无认购、申购、到期赎回费用</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推荐部门</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lang w:eastAsia="zh-CN"/>
              </w:rPr>
              <w:t>资产管理</w:t>
            </w:r>
            <w:r>
              <w:rPr>
                <w:rFonts w:hint="eastAsia" w:ascii="宋体" w:hAnsi="宋体" w:eastAsia="宋体"/>
                <w:sz w:val="24"/>
                <w:szCs w:val="24"/>
              </w:rPr>
              <w:t>部</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时间安排</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募集期：2</w:t>
            </w:r>
            <w:r>
              <w:rPr>
                <w:rFonts w:ascii="宋体" w:hAnsi="宋体" w:eastAsia="宋体"/>
                <w:sz w:val="24"/>
                <w:szCs w:val="24"/>
              </w:rPr>
              <w:t>023</w:t>
            </w:r>
            <w:r>
              <w:rPr>
                <w:rFonts w:hint="eastAsia" w:ascii="宋体" w:hAnsi="宋体" w:eastAsia="宋体"/>
                <w:sz w:val="24"/>
                <w:szCs w:val="24"/>
                <w:lang w:val="en-US" w:eastAsia="zh-CN"/>
              </w:rPr>
              <w:t>4</w:t>
            </w:r>
            <w:r>
              <w:rPr>
                <w:rFonts w:hint="eastAsia" w:ascii="宋体" w:hAnsi="宋体" w:eastAsia="宋体"/>
                <w:sz w:val="24"/>
                <w:szCs w:val="24"/>
              </w:rPr>
              <w:t>年</w:t>
            </w:r>
            <w:r>
              <w:rPr>
                <w:rFonts w:hint="eastAsia" w:ascii="宋体" w:hAnsi="宋体" w:eastAsia="宋体"/>
                <w:sz w:val="24"/>
                <w:szCs w:val="24"/>
                <w:lang w:val="en-US" w:eastAsia="zh-CN"/>
              </w:rPr>
              <w:t>4</w:t>
            </w:r>
            <w:r>
              <w:rPr>
                <w:rFonts w:hint="eastAsia" w:ascii="宋体" w:hAnsi="宋体" w:eastAsia="宋体"/>
                <w:sz w:val="24"/>
                <w:szCs w:val="24"/>
              </w:rPr>
              <w:t>月</w:t>
            </w:r>
            <w:r>
              <w:rPr>
                <w:rFonts w:hint="eastAsia" w:ascii="宋体" w:hAnsi="宋体" w:eastAsia="宋体"/>
                <w:sz w:val="24"/>
                <w:szCs w:val="24"/>
                <w:lang w:val="en-US" w:eastAsia="zh-CN"/>
              </w:rPr>
              <w:t>25-28</w:t>
            </w:r>
            <w:r>
              <w:rPr>
                <w:rFonts w:hint="eastAsia" w:ascii="宋体" w:hAnsi="宋体" w:eastAsia="宋体"/>
                <w:sz w:val="24"/>
                <w:szCs w:val="24"/>
              </w:rPr>
              <w:t>日；</w:t>
            </w:r>
          </w:p>
          <w:p>
            <w:pPr>
              <w:spacing w:line="360" w:lineRule="auto"/>
              <w:rPr>
                <w:rFonts w:ascii="宋体" w:hAnsi="宋体" w:eastAsia="宋体"/>
                <w:sz w:val="24"/>
                <w:szCs w:val="24"/>
              </w:rPr>
            </w:pPr>
            <w:r>
              <w:rPr>
                <w:rFonts w:hint="eastAsia" w:ascii="宋体" w:hAnsi="宋体" w:eastAsia="宋体"/>
                <w:sz w:val="24"/>
                <w:szCs w:val="24"/>
              </w:rPr>
              <w:t>冷静期：2</w:t>
            </w:r>
            <w:r>
              <w:rPr>
                <w:rFonts w:ascii="宋体" w:hAnsi="宋体" w:eastAsia="宋体"/>
                <w:sz w:val="24"/>
                <w:szCs w:val="24"/>
              </w:rPr>
              <w:t>02</w:t>
            </w:r>
            <w:r>
              <w:rPr>
                <w:rFonts w:hint="eastAsia" w:ascii="宋体" w:hAnsi="宋体" w:eastAsia="宋体"/>
                <w:sz w:val="24"/>
                <w:szCs w:val="24"/>
                <w:lang w:val="en-US" w:eastAsia="zh-CN"/>
              </w:rPr>
              <w:t>4</w:t>
            </w:r>
            <w:r>
              <w:rPr>
                <w:rFonts w:hint="eastAsia" w:ascii="宋体" w:hAnsi="宋体" w:eastAsia="宋体"/>
                <w:sz w:val="24"/>
                <w:szCs w:val="24"/>
              </w:rPr>
              <w:t>年</w:t>
            </w:r>
            <w:r>
              <w:rPr>
                <w:rFonts w:hint="eastAsia" w:ascii="宋体" w:hAnsi="宋体" w:eastAsia="宋体"/>
                <w:sz w:val="24"/>
                <w:szCs w:val="24"/>
                <w:lang w:val="en-US" w:eastAsia="zh-CN"/>
              </w:rPr>
              <w:t>4</w:t>
            </w:r>
            <w:r>
              <w:rPr>
                <w:rFonts w:hint="eastAsia" w:ascii="宋体" w:hAnsi="宋体" w:eastAsia="宋体"/>
                <w:sz w:val="24"/>
                <w:szCs w:val="24"/>
              </w:rPr>
              <w:t>月</w:t>
            </w:r>
            <w:r>
              <w:rPr>
                <w:rFonts w:hint="eastAsia" w:ascii="宋体" w:hAnsi="宋体" w:eastAsia="宋体"/>
                <w:sz w:val="24"/>
                <w:szCs w:val="24"/>
                <w:lang w:val="en-US" w:eastAsia="zh-CN"/>
              </w:rPr>
              <w:t>29</w:t>
            </w:r>
            <w:r>
              <w:rPr>
                <w:rFonts w:hint="eastAsia" w:ascii="宋体" w:hAnsi="宋体" w:eastAsia="宋体"/>
                <w:sz w:val="24"/>
                <w:szCs w:val="24"/>
              </w:rPr>
              <w:t>日；</w:t>
            </w:r>
          </w:p>
          <w:p>
            <w:pPr>
              <w:spacing w:line="360" w:lineRule="auto"/>
              <w:rPr>
                <w:rFonts w:ascii="宋体" w:hAnsi="宋体" w:eastAsia="宋体"/>
                <w:sz w:val="24"/>
                <w:szCs w:val="24"/>
              </w:rPr>
            </w:pPr>
            <w:r>
              <w:rPr>
                <w:rFonts w:hint="eastAsia" w:ascii="宋体" w:hAnsi="宋体" w:eastAsia="宋体"/>
                <w:sz w:val="24"/>
                <w:szCs w:val="24"/>
              </w:rPr>
              <w:t>起息日：2</w:t>
            </w:r>
            <w:r>
              <w:rPr>
                <w:rFonts w:ascii="宋体" w:hAnsi="宋体" w:eastAsia="宋体"/>
                <w:sz w:val="24"/>
                <w:szCs w:val="24"/>
              </w:rPr>
              <w:t>02</w:t>
            </w:r>
            <w:r>
              <w:rPr>
                <w:rFonts w:hint="eastAsia" w:ascii="宋体" w:hAnsi="宋体" w:eastAsia="宋体"/>
                <w:sz w:val="24"/>
                <w:szCs w:val="24"/>
                <w:lang w:val="en-US" w:eastAsia="zh-CN"/>
              </w:rPr>
              <w:t>4</w:t>
            </w:r>
            <w:r>
              <w:rPr>
                <w:rFonts w:hint="eastAsia" w:ascii="宋体" w:hAnsi="宋体" w:eastAsia="宋体"/>
                <w:sz w:val="24"/>
                <w:szCs w:val="24"/>
              </w:rPr>
              <w:t>年</w:t>
            </w:r>
            <w:r>
              <w:rPr>
                <w:rFonts w:hint="eastAsia" w:ascii="宋体" w:hAnsi="宋体" w:eastAsia="宋体"/>
                <w:sz w:val="24"/>
                <w:szCs w:val="24"/>
                <w:lang w:val="en-US" w:eastAsia="zh-CN"/>
              </w:rPr>
              <w:t>4</w:t>
            </w:r>
            <w:r>
              <w:rPr>
                <w:rFonts w:hint="eastAsia" w:ascii="宋体" w:hAnsi="宋体" w:eastAsia="宋体"/>
                <w:sz w:val="24"/>
                <w:szCs w:val="24"/>
              </w:rPr>
              <w:t>月</w:t>
            </w:r>
            <w:r>
              <w:rPr>
                <w:rFonts w:hint="eastAsia" w:ascii="宋体" w:hAnsi="宋体" w:eastAsia="宋体"/>
                <w:sz w:val="24"/>
                <w:szCs w:val="24"/>
                <w:lang w:val="en-US" w:eastAsia="zh-CN"/>
              </w:rPr>
              <w:t>30</w:t>
            </w:r>
            <w:r>
              <w:rPr>
                <w:rFonts w:hint="eastAsia" w:ascii="宋体" w:hAnsi="宋体" w:eastAsia="宋体"/>
                <w:sz w:val="24"/>
                <w:szCs w:val="24"/>
              </w:rPr>
              <w:t>日</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备注</w:t>
            </w:r>
          </w:p>
        </w:tc>
        <w:tc>
          <w:tcPr>
            <w:tcW w:w="6222" w:type="dxa"/>
            <w:gridSpan w:val="3"/>
            <w:vAlign w:val="top"/>
          </w:tcPr>
          <w:p>
            <w:p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无</w:t>
            </w:r>
          </w:p>
        </w:tc>
      </w:tr>
    </w:tbl>
    <w:p>
      <w:pPr>
        <w:spacing w:line="360" w:lineRule="auto"/>
        <w:ind w:firstLine="420" w:firstLineChars="200"/>
        <w:rPr>
          <w:rFonts w:ascii="宋体" w:hAnsi="宋体" w:eastAsia="宋体"/>
        </w:rPr>
      </w:pPr>
      <w:r>
        <w:rPr>
          <w:rFonts w:hint="eastAsia" w:ascii="宋体" w:hAnsi="宋体" w:eastAsia="宋体"/>
        </w:rPr>
        <w:t>提示：本产品由</w:t>
      </w:r>
      <w:r>
        <w:rPr>
          <w:rFonts w:hint="eastAsia" w:ascii="宋体" w:hAnsi="宋体" w:eastAsia="宋体"/>
          <w:sz w:val="24"/>
          <w:szCs w:val="24"/>
          <w:lang w:eastAsia="zh-CN"/>
        </w:rPr>
        <w:t>华鑫国际信托有限公司</w:t>
      </w:r>
      <w:r>
        <w:rPr>
          <w:rFonts w:hint="eastAsia" w:ascii="宋体" w:hAnsi="宋体" w:eastAsia="宋体"/>
        </w:rPr>
        <w:t>发行与管理，张家港农商行作为代销机构不承担产品的投资、兑付和风险管理责任</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等线" w:hAnsi="等线" w:eastAsia="等线" w:cs="黑体"/>
      <w:kern w:val="2"/>
      <w:sz w:val="21"/>
      <w:szCs w:val="22"/>
      <w:lang w:val="en-US" w:eastAsia="zh-CN" w:bidi="ar-SA"/>
    </w:rPr>
  </w:style>
  <w:style w:type="character" w:default="1" w:styleId="5">
    <w:name w:val="Default Paragraph Font"/>
  </w:style>
  <w:style w:type="paragraph" w:styleId="2">
    <w:name w:val="Body Text"/>
    <w:basedOn w:val="1"/>
    <w:pPr>
      <w:spacing w:before="1"/>
      <w:ind w:left="120"/>
    </w:pPr>
    <w:rPr>
      <w:sz w:val="24"/>
    </w:rPr>
  </w:style>
  <w:style w:type="paragraph" w:styleId="3">
    <w:name w:val="footer"/>
    <w:basedOn w:val="1"/>
    <w:link w:val="9"/>
    <w:pPr>
      <w:tabs>
        <w:tab w:val="center" w:pos="4153"/>
        <w:tab w:val="right" w:pos="8306"/>
      </w:tabs>
      <w:snapToGrid w:val="0"/>
      <w:jc w:val="left"/>
    </w:pPr>
    <w:rPr>
      <w:sz w:val="18"/>
      <w:szCs w:val="18"/>
    </w:rPr>
  </w:style>
  <w:style w:type="paragraph" w:styleId="4">
    <w:name w:val="header"/>
    <w:basedOn w:val="1"/>
    <w:link w:val="8"/>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pPr>
      <w:ind w:firstLine="420" w:firstLineChars="200"/>
    </w:pPr>
  </w:style>
  <w:style w:type="paragraph" w:customStyle="1" w:styleId="7">
    <w:name w:val="Normal (Web)"/>
    <w:basedOn w:val="1"/>
    <w:pPr>
      <w:spacing w:before="75" w:beforeAutospacing="0" w:after="75" w:afterAutospacing="0"/>
      <w:ind w:left="0" w:right="0"/>
      <w:jc w:val="left"/>
    </w:pPr>
    <w:rPr>
      <w:kern w:val="0"/>
      <w:sz w:val="24"/>
      <w:lang w:val="en-US" w:eastAsia="zh-CN"/>
    </w:rPr>
  </w:style>
  <w:style w:type="character" w:customStyle="1" w:styleId="8">
    <w:name w:val="页眉 字符"/>
    <w:basedOn w:val="5"/>
    <w:link w:val="4"/>
    <w:semiHidden/>
    <w:rPr>
      <w:sz w:val="18"/>
      <w:szCs w:val="18"/>
    </w:rPr>
  </w:style>
  <w:style w:type="character" w:customStyle="1" w:styleId="9">
    <w:name w:val="页脚 字符"/>
    <w:basedOn w:val="5"/>
    <w:link w:val="3"/>
    <w:semiHidden/>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461</Characters>
  <Lines>3</Lines>
  <Paragraphs>1</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2023-05-26T06:46:00Z</dcterms:created>
  <dc:creator>岳 Young Yue</dc:creator>
  <dcterms:modified xsi:type="dcterms:W3CDTF">2024-04-24T18:08:44Z</dcterms:modified>
  <dc:title>高净值私行客户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4A704CBE99904EA787F611934C8817E9</vt:lpwstr>
  </property>
</Properties>
</file>