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张家港农村商业银行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金港湾悠享周开1号”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理财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产品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调整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业绩报酬计提等要素的公告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尊敬的投资者：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感谢您持有理财产品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金港湾悠享周开1号净值型人民币理财产品（</w:t>
      </w:r>
      <w:r>
        <w:rPr>
          <w:rFonts w:hint="eastAsia" w:ascii="仿宋" w:hAnsi="仿宋" w:eastAsia="仿宋" w:cs="仿宋"/>
          <w:sz w:val="30"/>
          <w:szCs w:val="30"/>
        </w:rPr>
        <w:t>产品登记编码：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C1115619000092</w:t>
      </w:r>
      <w:r>
        <w:rPr>
          <w:rFonts w:hint="eastAsia" w:ascii="仿宋" w:hAnsi="仿宋" w:eastAsia="仿宋" w:cs="仿宋"/>
          <w:sz w:val="30"/>
          <w:szCs w:val="30"/>
        </w:rPr>
        <w:t>，产品代码：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YX07D001）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为提高产品运作情况与当前市场环境的适配性，根据产品说明书的约定，申请调整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金港湾悠享周开1号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理财产品业绩报酬计提要素，并于2024年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5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日启用：</w:t>
      </w:r>
    </w:p>
    <w:tbl>
      <w:tblPr>
        <w:tblStyle w:val="4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2880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调整前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调整后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金港湾悠享周开1号净值型人民币理财产品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业绩报酬计提阈值R1为2.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0%，R2为2.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超额业绩报酬计提阈值P1为0%，P2为90%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业绩报酬计提阈值R1为2.10%，R2为2.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超额业绩报酬计提阈值P1为0%，P2为90%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其中：【R1：业绩回拨基准、R2：超额计提基准】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【P1：增速处于基准区间的超额计提比例，P2：增速高于区间上限的超额计提比例】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感谢您一直以来对张家港农村商业银行的支持！敬请继续关注我行正在销售的理财产品。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特此公告。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张家港农村商业银行股份有限公司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2024年5月6日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4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11"/>
    <w:basedOn w:val="6"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436</Characters>
  <Paragraphs>22</Paragraphs>
  <TotalTime>1</TotalTime>
  <ScaleCrop>false</ScaleCrop>
  <LinksUpToDate>false</LinksUpToDate>
  <CharactersWithSpaces>442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2023-07-05T07:55:00Z</dcterms:created>
  <dc:creator>zrc</dc:creator>
  <cp:lastModifiedBy>zrcbankchen</cp:lastModifiedBy>
  <dcterms:modified xsi:type="dcterms:W3CDTF">2024-05-06T08:37:22Z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7F575C679CC34F14AA07AA60EF252FFD_12</vt:lpwstr>
  </property>
</Properties>
</file>