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hint="eastAsia" w:ascii="宋体" w:hAnsi="宋体" w:eastAsia="宋体"/>
          <w:sz w:val="28"/>
          <w:szCs w:val="32"/>
          <w:lang w:eastAsia="zh-CN"/>
        </w:rPr>
      </w:pPr>
      <w:r>
        <w:rPr>
          <w:rFonts w:hint="eastAsia" w:ascii="宋体" w:hAnsi="宋体" w:eastAsia="宋体"/>
          <w:sz w:val="28"/>
          <w:szCs w:val="32"/>
          <w:lang w:eastAsia="zh-CN"/>
        </w:rPr>
        <w:t>华鑫信托·建业168号</w:t>
      </w:r>
      <w:r>
        <w:rPr>
          <w:rFonts w:hint="eastAsia" w:ascii="宋体" w:hAnsi="宋体" w:eastAsia="宋体"/>
          <w:sz w:val="28"/>
          <w:szCs w:val="32"/>
        </w:rPr>
        <w:t>集合资金信托计划（第</w:t>
      </w:r>
      <w:r>
        <w:rPr>
          <w:rFonts w:hint="eastAsia" w:ascii="宋体" w:hAnsi="宋体" w:eastAsia="宋体"/>
          <w:sz w:val="28"/>
          <w:szCs w:val="32"/>
          <w:lang w:eastAsia="zh-CN"/>
        </w:rPr>
        <w:t>四</w:t>
      </w:r>
      <w:r>
        <w:rPr>
          <w:rFonts w:hint="eastAsia" w:ascii="宋体" w:hAnsi="宋体" w:eastAsia="宋体"/>
          <w:sz w:val="28"/>
          <w:szCs w:val="32"/>
        </w:rPr>
        <w:t>期）要素</w:t>
      </w:r>
      <w:r>
        <w:rPr>
          <w:rFonts w:hint="eastAsia" w:ascii="宋体" w:hAnsi="宋体" w:eastAsia="宋体"/>
          <w:sz w:val="28"/>
          <w:szCs w:val="32"/>
          <w:lang w:eastAsia="zh-CN"/>
        </w:rPr>
        <w:t>表</w:t>
      </w:r>
    </w:p>
    <w:p>
      <w:pPr>
        <w:spacing w:line="360" w:lineRule="auto"/>
        <w:rPr>
          <w:rFonts w:ascii="宋体" w:hAnsi="宋体" w:eastAsia="宋体"/>
        </w:rPr>
      </w:pPr>
    </w:p>
    <w:tbl>
      <w:tblPr>
        <w:tblW w:w="8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607"/>
        <w:gridCol w:w="2835"/>
        <w:gridCol w:w="1780"/>
      </w:tblGrid>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产品名称、合同编号及信托登编码</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产品名称：</w:t>
            </w:r>
            <w:r>
              <w:rPr>
                <w:rFonts w:hint="eastAsia" w:ascii="宋体" w:hAnsi="宋体" w:eastAsia="宋体"/>
                <w:sz w:val="24"/>
                <w:szCs w:val="24"/>
                <w:lang w:eastAsia="zh-CN"/>
              </w:rPr>
              <w:t>华鑫信托·建业168号</w:t>
            </w:r>
            <w:r>
              <w:rPr>
                <w:rFonts w:ascii="宋体" w:hAnsi="宋体" w:eastAsia="宋体"/>
                <w:sz w:val="24"/>
                <w:szCs w:val="24"/>
              </w:rPr>
              <w:t>集合资金信托计划</w:t>
            </w:r>
            <w:bookmarkStart w:id="0" w:name="_GoBack"/>
            <w:bookmarkEnd w:id="0"/>
          </w:p>
          <w:p>
            <w:pPr>
              <w:spacing w:line="360" w:lineRule="auto"/>
              <w:rPr>
                <w:rFonts w:ascii="宋体" w:hAnsi="宋体" w:eastAsia="宋体"/>
                <w:sz w:val="24"/>
                <w:szCs w:val="24"/>
                <w:lang w:val="en-US"/>
              </w:rPr>
            </w:pPr>
            <w:r>
              <w:rPr>
                <w:rFonts w:hint="eastAsia" w:ascii="宋体" w:hAnsi="宋体" w:eastAsia="宋体"/>
                <w:sz w:val="24"/>
                <w:szCs w:val="24"/>
              </w:rPr>
              <w:t>信托合同编号：</w:t>
            </w:r>
            <w:r>
              <w:rPr>
                <w:rFonts w:hint="eastAsia" w:ascii="宋体" w:hAnsi="宋体" w:eastAsia="宋体"/>
                <w:sz w:val="24"/>
                <w:szCs w:val="24"/>
                <w:lang w:eastAsia="zh-CN"/>
              </w:rPr>
              <w:t>华鑫集信字</w:t>
            </w:r>
            <w:r>
              <w:rPr>
                <w:rFonts w:hint="eastAsia" w:ascii="宋体" w:hAnsi="宋体" w:eastAsia="宋体"/>
                <w:sz w:val="24"/>
                <w:szCs w:val="24"/>
                <w:lang w:val="en-US" w:eastAsia="zh-CN"/>
              </w:rPr>
              <w:t>2024287号-信托</w:t>
            </w:r>
          </w:p>
          <w:p>
            <w:pPr>
              <w:spacing w:line="360" w:lineRule="auto"/>
              <w:rPr>
                <w:rFonts w:hint="eastAsia" w:ascii="宋体" w:hAnsi="宋体" w:eastAsia="宋体"/>
                <w:sz w:val="24"/>
                <w:szCs w:val="24"/>
              </w:rPr>
            </w:pPr>
            <w:r>
              <w:rPr>
                <w:rFonts w:hint="eastAsia" w:ascii="宋体" w:hAnsi="宋体" w:eastAsia="宋体"/>
                <w:sz w:val="24"/>
                <w:szCs w:val="24"/>
              </w:rPr>
              <w:t>信托登记编码：</w:t>
            </w:r>
            <w:r>
              <w:rPr>
                <w:rFonts w:hint="eastAsia" w:ascii="宋体" w:hAnsi="宋体" w:eastAsia="宋体"/>
                <w:sz w:val="24"/>
                <w:szCs w:val="24"/>
                <w:highlight w:val="none"/>
                <w:lang w:val="en-US" w:eastAsia="zh-CN"/>
              </w:rPr>
              <w:t>ZXD39H202403010094477</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产品类型</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napToGrid w:val="0"/>
                <w:kern w:val="0"/>
                <w:sz w:val="24"/>
                <w:szCs w:val="24"/>
              </w:rPr>
              <w:t>固定收益类集合资金信托计划</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风险等级</w:t>
            </w:r>
          </w:p>
        </w:tc>
        <w:tc>
          <w:tcPr>
            <w:tcW w:w="1607" w:type="dxa"/>
            <w:vAlign w:val="top"/>
          </w:tcPr>
          <w:p>
            <w:pPr>
              <w:spacing w:line="360" w:lineRule="auto"/>
              <w:rPr>
                <w:rFonts w:ascii="宋体" w:hAnsi="宋体" w:eastAsia="宋体"/>
                <w:sz w:val="24"/>
                <w:szCs w:val="24"/>
              </w:rPr>
            </w:pPr>
            <w:r>
              <w:rPr>
                <w:rFonts w:hint="eastAsia" w:ascii="宋体" w:hAnsi="宋体" w:eastAsia="宋体"/>
                <w:sz w:val="24"/>
                <w:szCs w:val="24"/>
              </w:rPr>
              <w:t>R</w:t>
            </w:r>
            <w:r>
              <w:rPr>
                <w:rFonts w:ascii="宋体" w:hAnsi="宋体" w:eastAsia="宋体"/>
                <w:sz w:val="24"/>
                <w:szCs w:val="24"/>
              </w:rPr>
              <w:t>3</w:t>
            </w:r>
            <w:r>
              <w:rPr>
                <w:rFonts w:hint="eastAsia" w:ascii="宋体" w:hAnsi="宋体" w:eastAsia="宋体"/>
                <w:sz w:val="24"/>
                <w:szCs w:val="24"/>
              </w:rPr>
              <w:t>级中风险</w:t>
            </w:r>
          </w:p>
        </w:tc>
        <w:tc>
          <w:tcPr>
            <w:tcW w:w="2835" w:type="dxa"/>
            <w:vAlign w:val="top"/>
          </w:tcPr>
          <w:p>
            <w:pPr>
              <w:spacing w:line="360" w:lineRule="auto"/>
              <w:rPr>
                <w:rFonts w:ascii="宋体" w:hAnsi="宋体" w:eastAsia="宋体"/>
                <w:sz w:val="24"/>
                <w:szCs w:val="24"/>
              </w:rPr>
            </w:pPr>
            <w:r>
              <w:rPr>
                <w:rFonts w:hint="eastAsia" w:ascii="宋体" w:hAnsi="宋体" w:eastAsia="宋体"/>
                <w:sz w:val="24"/>
                <w:szCs w:val="24"/>
              </w:rPr>
              <w:t>信托公司内部风险等级</w:t>
            </w:r>
          </w:p>
        </w:tc>
        <w:tc>
          <w:tcPr>
            <w:tcW w:w="1780" w:type="dxa"/>
            <w:vAlign w:val="top"/>
          </w:tcPr>
          <w:p>
            <w:pPr>
              <w:spacing w:line="360" w:lineRule="auto"/>
              <w:rPr>
                <w:rFonts w:ascii="宋体" w:hAnsi="宋体" w:eastAsia="宋体"/>
                <w:sz w:val="24"/>
                <w:szCs w:val="24"/>
              </w:rPr>
            </w:pPr>
            <w:r>
              <w:rPr>
                <w:rFonts w:hint="eastAsia" w:ascii="宋体" w:hAnsi="宋体" w:eastAsia="宋体"/>
                <w:sz w:val="24"/>
                <w:szCs w:val="24"/>
              </w:rPr>
              <w:t>R</w:t>
            </w:r>
            <w:r>
              <w:rPr>
                <w:rFonts w:ascii="宋体" w:hAnsi="宋体" w:eastAsia="宋体"/>
                <w:sz w:val="24"/>
                <w:szCs w:val="24"/>
              </w:rPr>
              <w:t>3</w:t>
            </w:r>
            <w:r>
              <w:rPr>
                <w:rFonts w:hint="eastAsia" w:ascii="宋体" w:hAnsi="宋体" w:eastAsia="宋体"/>
                <w:sz w:val="24"/>
                <w:szCs w:val="24"/>
              </w:rPr>
              <w:t>级中风险</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受托管理人</w:t>
            </w:r>
          </w:p>
        </w:tc>
        <w:tc>
          <w:tcPr>
            <w:tcW w:w="6222" w:type="dxa"/>
            <w:gridSpan w:val="3"/>
            <w:vAlign w:val="top"/>
          </w:tcPr>
          <w:p>
            <w:pPr>
              <w:spacing w:line="360" w:lineRule="auto"/>
              <w:rPr>
                <w:rFonts w:hint="eastAsia" w:ascii="宋体" w:hAnsi="宋体" w:eastAsia="宋体"/>
                <w:sz w:val="24"/>
                <w:szCs w:val="24"/>
                <w:lang w:eastAsia="zh-CN"/>
              </w:rPr>
            </w:pPr>
            <w:r>
              <w:rPr>
                <w:rFonts w:hint="eastAsia" w:ascii="宋体" w:hAnsi="宋体" w:eastAsia="宋体"/>
                <w:sz w:val="24"/>
                <w:szCs w:val="24"/>
                <w:lang w:eastAsia="zh-CN"/>
              </w:rPr>
              <w:t>华鑫国际信托有限公司</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存续期限</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1年期</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投资范围</w:t>
            </w:r>
          </w:p>
        </w:tc>
        <w:tc>
          <w:tcPr>
            <w:tcW w:w="6222" w:type="dxa"/>
            <w:gridSpan w:val="3"/>
            <w:vAlign w:val="top"/>
          </w:tcPr>
          <w:p>
            <w:pPr>
              <w:pStyle w:val="6"/>
              <w:numPr>
                <w:numId w:val="0"/>
              </w:numPr>
              <w:spacing w:line="360" w:lineRule="auto"/>
              <w:ind w:leftChars="0"/>
              <w:rPr>
                <w:rFonts w:ascii="宋体" w:hAnsi="宋体" w:eastAsia="宋体"/>
                <w:sz w:val="24"/>
                <w:szCs w:val="24"/>
              </w:rPr>
            </w:pPr>
            <w:r>
              <w:rPr>
                <w:rFonts w:hint="eastAsia" w:ascii="宋体" w:hAnsi="宋体" w:eastAsia="宋体"/>
                <w:sz w:val="24"/>
                <w:szCs w:val="24"/>
              </w:rPr>
              <w:t>向借款人</w:t>
            </w:r>
            <w:r>
              <w:rPr>
                <w:rFonts w:hint="eastAsia" w:ascii="宋体" w:hAnsi="宋体" w:eastAsia="宋体"/>
                <w:sz w:val="24"/>
                <w:szCs w:val="24"/>
                <w:lang w:eastAsia="zh-CN"/>
              </w:rPr>
              <w:t>无锡市太湖新城资产经营管理有限公司</w:t>
            </w:r>
            <w:r>
              <w:rPr>
                <w:rFonts w:hint="eastAsia" w:ascii="宋体" w:hAnsi="宋体" w:eastAsia="宋体"/>
                <w:sz w:val="24"/>
                <w:szCs w:val="24"/>
              </w:rPr>
              <w:t>发放信托贷款。</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增信措施</w:t>
            </w:r>
          </w:p>
        </w:tc>
        <w:tc>
          <w:tcPr>
            <w:tcW w:w="6222" w:type="dxa"/>
            <w:gridSpan w:val="3"/>
            <w:vAlign w:val="top"/>
          </w:tcPr>
          <w:p>
            <w:pPr>
              <w:spacing w:line="360" w:lineRule="auto"/>
              <w:rPr>
                <w:rFonts w:hint="eastAsia" w:ascii="宋体" w:hAnsi="宋体" w:eastAsia="宋体"/>
                <w:sz w:val="24"/>
                <w:szCs w:val="24"/>
                <w:lang w:eastAsia="zh-CN"/>
              </w:rPr>
            </w:pPr>
            <w:r>
              <w:rPr>
                <w:rFonts w:hint="eastAsia" w:ascii="宋体" w:hAnsi="宋体" w:eastAsia="宋体"/>
                <w:sz w:val="24"/>
                <w:szCs w:val="24"/>
                <w:lang w:eastAsia="zh-CN"/>
              </w:rPr>
              <w:t>无锡市太湖新城发展集团有限公司提供不可撤销的连带责任保证担保</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投资起点</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人民币1</w:t>
            </w:r>
            <w:r>
              <w:rPr>
                <w:rFonts w:ascii="宋体" w:hAnsi="宋体" w:eastAsia="宋体"/>
                <w:sz w:val="24"/>
                <w:szCs w:val="24"/>
              </w:rPr>
              <w:t>00</w:t>
            </w:r>
            <w:r>
              <w:rPr>
                <w:rFonts w:hint="eastAsia" w:ascii="宋体" w:hAnsi="宋体" w:eastAsia="宋体"/>
                <w:sz w:val="24"/>
                <w:szCs w:val="24"/>
              </w:rPr>
              <w:t>万元起，并以1</w:t>
            </w:r>
            <w:r>
              <w:rPr>
                <w:rFonts w:ascii="宋体" w:hAnsi="宋体" w:eastAsia="宋体"/>
                <w:sz w:val="24"/>
                <w:szCs w:val="24"/>
              </w:rPr>
              <w:t>0</w:t>
            </w:r>
            <w:r>
              <w:rPr>
                <w:rFonts w:hint="eastAsia" w:ascii="宋体" w:hAnsi="宋体" w:eastAsia="宋体"/>
                <w:sz w:val="24"/>
                <w:szCs w:val="24"/>
              </w:rPr>
              <w:t>万元的整数倍递增</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业绩基准</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highlight w:val="none"/>
                <w:lang w:val="en-US" w:eastAsia="zh-CN"/>
              </w:rPr>
              <w:t>3.9</w:t>
            </w:r>
            <w:r>
              <w:rPr>
                <w:rFonts w:hint="eastAsia" w:ascii="宋体" w:hAnsi="宋体" w:eastAsia="宋体"/>
                <w:sz w:val="24"/>
                <w:szCs w:val="24"/>
              </w:rPr>
              <w:t>%</w:t>
            </w:r>
            <w:r>
              <w:rPr>
                <w:rFonts w:ascii="宋体" w:hAnsi="宋体" w:eastAsia="宋体"/>
                <w:sz w:val="24"/>
                <w:szCs w:val="24"/>
              </w:rPr>
              <w:t>/</w:t>
            </w:r>
            <w:r>
              <w:rPr>
                <w:rFonts w:hint="eastAsia" w:ascii="宋体" w:hAnsi="宋体" w:eastAsia="宋体"/>
                <w:sz w:val="24"/>
                <w:szCs w:val="24"/>
              </w:rPr>
              <w:t>年</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代销规模</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lang w:val="en-US" w:eastAsia="zh-CN"/>
              </w:rPr>
              <w:t>本期不超过3760</w:t>
            </w:r>
            <w:r>
              <w:rPr>
                <w:rFonts w:hint="eastAsia" w:ascii="宋体" w:hAnsi="宋体" w:eastAsia="宋体"/>
                <w:sz w:val="24"/>
                <w:szCs w:val="24"/>
              </w:rPr>
              <w:t>万元</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退出方式</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到期退出</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投资者费用</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rPr>
              <w:t>无认购、申购、到期赎回费用</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推荐部门</w:t>
            </w:r>
          </w:p>
        </w:tc>
        <w:tc>
          <w:tcPr>
            <w:tcW w:w="6222" w:type="dxa"/>
            <w:gridSpan w:val="3"/>
            <w:vAlign w:val="top"/>
          </w:tcPr>
          <w:p>
            <w:pPr>
              <w:spacing w:line="360" w:lineRule="auto"/>
              <w:rPr>
                <w:rFonts w:ascii="宋体" w:hAnsi="宋体" w:eastAsia="宋体"/>
                <w:sz w:val="24"/>
                <w:szCs w:val="24"/>
              </w:rPr>
            </w:pPr>
            <w:r>
              <w:rPr>
                <w:rFonts w:hint="eastAsia" w:ascii="宋体" w:hAnsi="宋体" w:eastAsia="宋体"/>
                <w:sz w:val="24"/>
                <w:szCs w:val="24"/>
                <w:lang w:eastAsia="zh-CN"/>
              </w:rPr>
              <w:t>资产管理</w:t>
            </w:r>
            <w:r>
              <w:rPr>
                <w:rFonts w:hint="eastAsia" w:ascii="宋体" w:hAnsi="宋体" w:eastAsia="宋体"/>
                <w:sz w:val="24"/>
                <w:szCs w:val="24"/>
              </w:rPr>
              <w:t>部</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时间安排</w:t>
            </w:r>
          </w:p>
        </w:tc>
        <w:tc>
          <w:tcPr>
            <w:tcW w:w="6222" w:type="dxa"/>
            <w:gridSpan w:val="3"/>
            <w:vAlign w:val="top"/>
          </w:tcPr>
          <w:p>
            <w:pPr>
              <w:spacing w:line="360" w:lineRule="auto"/>
              <w:rPr>
                <w:rFonts w:ascii="宋体" w:hAnsi="宋体" w:eastAsia="宋体"/>
                <w:sz w:val="24"/>
                <w:szCs w:val="24"/>
                <w:highlight w:val="none"/>
              </w:rPr>
            </w:pPr>
            <w:r>
              <w:rPr>
                <w:rFonts w:hint="eastAsia" w:ascii="宋体" w:hAnsi="宋体" w:eastAsia="宋体"/>
                <w:sz w:val="24"/>
                <w:szCs w:val="24"/>
                <w:highlight w:val="none"/>
              </w:rPr>
              <w:t>募集期：2</w:t>
            </w:r>
            <w:r>
              <w:rPr>
                <w:rFonts w:ascii="宋体" w:hAnsi="宋体" w:eastAsia="宋体"/>
                <w:sz w:val="24"/>
                <w:szCs w:val="24"/>
                <w:highlight w:val="none"/>
              </w:rPr>
              <w:t>02</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28-29</w:t>
            </w:r>
            <w:r>
              <w:rPr>
                <w:rFonts w:hint="eastAsia" w:ascii="宋体" w:hAnsi="宋体" w:eastAsia="宋体"/>
                <w:sz w:val="24"/>
                <w:szCs w:val="24"/>
                <w:highlight w:val="none"/>
              </w:rPr>
              <w:t>日；</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冷静期：2</w:t>
            </w:r>
            <w:r>
              <w:rPr>
                <w:rFonts w:ascii="宋体" w:hAnsi="宋体" w:eastAsia="宋体"/>
                <w:sz w:val="24"/>
                <w:szCs w:val="24"/>
                <w:highlight w:val="none"/>
              </w:rPr>
              <w:t>02</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30</w:t>
            </w:r>
            <w:r>
              <w:rPr>
                <w:rFonts w:hint="eastAsia" w:ascii="宋体" w:hAnsi="宋体" w:eastAsia="宋体"/>
                <w:sz w:val="24"/>
                <w:szCs w:val="24"/>
                <w:highlight w:val="none"/>
              </w:rPr>
              <w:t>日；</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起息日：2</w:t>
            </w:r>
            <w:r>
              <w:rPr>
                <w:rFonts w:ascii="宋体" w:hAnsi="宋体" w:eastAsia="宋体"/>
                <w:sz w:val="24"/>
                <w:szCs w:val="24"/>
                <w:highlight w:val="none"/>
              </w:rPr>
              <w:t>02</w:t>
            </w:r>
            <w:r>
              <w:rPr>
                <w:rFonts w:hint="eastAsia" w:ascii="宋体" w:hAnsi="宋体" w:eastAsia="宋体"/>
                <w:sz w:val="24"/>
                <w:szCs w:val="24"/>
                <w:highlight w:val="none"/>
                <w:lang w:val="en-US" w:eastAsia="zh-CN"/>
              </w:rPr>
              <w:t>4</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31</w:t>
            </w:r>
            <w:r>
              <w:rPr>
                <w:rFonts w:hint="eastAsia" w:ascii="宋体" w:hAnsi="宋体" w:eastAsia="宋体"/>
                <w:sz w:val="24"/>
                <w:szCs w:val="24"/>
                <w:highlight w:val="none"/>
              </w:rPr>
              <w:t>日；</w:t>
            </w:r>
          </w:p>
          <w:p>
            <w:pPr>
              <w:spacing w:line="360" w:lineRule="auto"/>
              <w:rPr>
                <w:rFonts w:hint="eastAsia" w:ascii="宋体" w:hAnsi="宋体" w:eastAsia="宋体"/>
                <w:sz w:val="24"/>
                <w:szCs w:val="24"/>
                <w:highlight w:val="none"/>
              </w:rPr>
            </w:pPr>
            <w:r>
              <w:rPr>
                <w:rFonts w:hint="eastAsia" w:ascii="宋体" w:hAnsi="宋体" w:eastAsia="宋体"/>
                <w:sz w:val="24"/>
                <w:szCs w:val="24"/>
                <w:highlight w:val="none"/>
                <w:lang w:eastAsia="zh-CN"/>
              </w:rPr>
              <w:t>终止</w:t>
            </w:r>
            <w:r>
              <w:rPr>
                <w:rFonts w:hint="eastAsia" w:ascii="宋体" w:hAnsi="宋体" w:eastAsia="宋体"/>
                <w:sz w:val="24"/>
                <w:szCs w:val="24"/>
                <w:highlight w:val="none"/>
              </w:rPr>
              <w:t>日：2</w:t>
            </w:r>
            <w:r>
              <w:rPr>
                <w:rFonts w:ascii="宋体" w:hAnsi="宋体" w:eastAsia="宋体"/>
                <w:sz w:val="24"/>
                <w:szCs w:val="24"/>
                <w:highlight w:val="none"/>
              </w:rPr>
              <w:t>02</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31</w:t>
            </w:r>
            <w:r>
              <w:rPr>
                <w:rFonts w:hint="eastAsia" w:ascii="宋体" w:hAnsi="宋体" w:eastAsia="宋体"/>
                <w:sz w:val="24"/>
                <w:szCs w:val="24"/>
                <w:highlight w:val="none"/>
              </w:rPr>
              <w:t>日</w:t>
            </w:r>
          </w:p>
          <w:p>
            <w:pPr>
              <w:pStyle w:val="2"/>
              <w:widowControl w:val="0"/>
              <w:wordWrap/>
              <w:adjustRightInd/>
              <w:snapToGrid/>
              <w:spacing w:before="1" w:after="0" w:line="240" w:lineRule="auto"/>
              <w:ind w:left="0" w:leftChars="0" w:right="0" w:firstLine="0" w:firstLineChars="0"/>
              <w:jc w:val="left"/>
              <w:textAlignment w:val="auto"/>
              <w:outlineLvl w:val="9"/>
              <w:rPr>
                <w:rFonts w:hint="eastAsia" w:eastAsia="宋体"/>
                <w:lang w:eastAsia="zh-CN"/>
              </w:rPr>
            </w:pPr>
            <w:r>
              <w:rPr>
                <w:rFonts w:hint="eastAsia" w:ascii="宋体" w:hAnsi="宋体" w:eastAsia="宋体"/>
                <w:sz w:val="24"/>
                <w:szCs w:val="24"/>
                <w:highlight w:val="none"/>
                <w:lang w:eastAsia="zh-CN"/>
              </w:rPr>
              <w:t>信托利益支付日：信托计划终止日后</w:t>
            </w:r>
            <w:r>
              <w:rPr>
                <w:rFonts w:hint="eastAsia" w:ascii="宋体" w:hAnsi="宋体" w:eastAsia="宋体"/>
                <w:sz w:val="24"/>
                <w:szCs w:val="24"/>
                <w:highlight w:val="none"/>
                <w:lang w:val="en-US" w:eastAsia="zh-CN"/>
              </w:rPr>
              <w:t>10个工作日内任一日</w:t>
            </w:r>
          </w:p>
          <w:p>
            <w:pPr>
              <w:spacing w:line="360" w:lineRule="auto"/>
              <w:rPr>
                <w:rFonts w:ascii="宋体" w:hAnsi="宋体" w:eastAsia="宋体"/>
                <w:sz w:val="24"/>
                <w:szCs w:val="24"/>
              </w:rPr>
            </w:pPr>
            <w:r>
              <w:rPr>
                <w:rFonts w:hint="eastAsia" w:ascii="宋体" w:hAnsi="宋体" w:eastAsia="宋体"/>
                <w:sz w:val="24"/>
                <w:szCs w:val="24"/>
              </w:rPr>
              <w:t>（根据发行情况调整，以发行前要素为准）</w:t>
            </w:r>
          </w:p>
        </w:tc>
      </w:tr>
      <w:tr>
        <w:tc>
          <w:tcPr>
            <w:tcW w:w="2074" w:type="dxa"/>
            <w:vAlign w:val="center"/>
          </w:tcPr>
          <w:p>
            <w:pPr>
              <w:spacing w:line="360" w:lineRule="auto"/>
              <w:jc w:val="left"/>
              <w:rPr>
                <w:rFonts w:ascii="宋体" w:hAnsi="宋体" w:eastAsia="宋体"/>
                <w:sz w:val="24"/>
                <w:szCs w:val="24"/>
              </w:rPr>
            </w:pPr>
            <w:r>
              <w:rPr>
                <w:rFonts w:hint="eastAsia" w:ascii="宋体" w:hAnsi="宋体" w:eastAsia="宋体"/>
                <w:sz w:val="24"/>
                <w:szCs w:val="24"/>
              </w:rPr>
              <w:t>备注</w:t>
            </w:r>
          </w:p>
        </w:tc>
        <w:tc>
          <w:tcPr>
            <w:tcW w:w="6222" w:type="dxa"/>
            <w:gridSpan w:val="3"/>
            <w:vAlign w:val="top"/>
          </w:tcPr>
          <w:p>
            <w:pPr>
              <w:spacing w:line="360" w:lineRule="auto"/>
              <w:rPr>
                <w:rFonts w:hint="eastAsia" w:ascii="宋体" w:hAnsi="宋体" w:eastAsia="宋体"/>
                <w:sz w:val="24"/>
                <w:szCs w:val="24"/>
                <w:lang w:eastAsia="zh-CN"/>
              </w:rPr>
            </w:pPr>
            <w:r>
              <w:rPr>
                <w:rFonts w:hint="eastAsia" w:ascii="宋体" w:hAnsi="宋体" w:eastAsia="宋体"/>
                <w:sz w:val="24"/>
                <w:szCs w:val="24"/>
                <w:lang w:eastAsia="zh-CN"/>
              </w:rPr>
              <w:t>无</w:t>
            </w:r>
          </w:p>
        </w:tc>
      </w:tr>
    </w:tbl>
    <w:p>
      <w:pPr>
        <w:spacing w:line="360" w:lineRule="auto"/>
        <w:ind w:firstLine="420" w:firstLineChars="200"/>
        <w:rPr>
          <w:rFonts w:ascii="宋体" w:hAnsi="宋体" w:eastAsia="宋体"/>
        </w:rPr>
      </w:pPr>
      <w:r>
        <w:rPr>
          <w:rFonts w:hint="eastAsia" w:ascii="宋体" w:hAnsi="宋体" w:eastAsia="宋体"/>
        </w:rPr>
        <w:t>提示：本产品由</w:t>
      </w:r>
      <w:r>
        <w:rPr>
          <w:rFonts w:hint="eastAsia" w:ascii="宋体" w:hAnsi="宋体" w:eastAsia="宋体"/>
          <w:b/>
          <w:bCs/>
          <w:sz w:val="24"/>
          <w:szCs w:val="24"/>
          <w:lang w:eastAsia="zh-CN"/>
        </w:rPr>
        <w:t>华鑫国际信托有限公司</w:t>
      </w:r>
      <w:r>
        <w:rPr>
          <w:rFonts w:hint="eastAsia" w:ascii="宋体" w:hAnsi="宋体" w:eastAsia="宋体"/>
          <w:sz w:val="21"/>
          <w:szCs w:val="21"/>
        </w:rPr>
        <w:t>发</w:t>
      </w:r>
      <w:r>
        <w:rPr>
          <w:rFonts w:hint="eastAsia" w:ascii="宋体" w:hAnsi="宋体" w:eastAsia="宋体"/>
        </w:rPr>
        <w:t>行与管理，张家港农商行作为代销机构不承担产品的投资、兑付和风险管理责任</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等线" w:hAnsi="等线" w:eastAsia="等线" w:cs="黑体"/>
      <w:kern w:val="2"/>
      <w:sz w:val="21"/>
      <w:szCs w:val="22"/>
      <w:lang w:val="en-US" w:eastAsia="zh-CN" w:bidi="ar-SA"/>
    </w:rPr>
  </w:style>
  <w:style w:type="character" w:default="1" w:styleId="5">
    <w:name w:val="Default Paragraph Font"/>
  </w:style>
  <w:style w:type="paragraph" w:styleId="2">
    <w:name w:val="Body Text"/>
    <w:basedOn w:val="1"/>
    <w:pPr>
      <w:spacing w:before="1"/>
      <w:ind w:left="120"/>
    </w:pPr>
    <w:rPr>
      <w:sz w:val="24"/>
    </w:rPr>
  </w:style>
  <w:style w:type="paragraph" w:styleId="3">
    <w:name w:val="footer"/>
    <w:basedOn w:val="1"/>
    <w:link w:val="9"/>
    <w:pPr>
      <w:tabs>
        <w:tab w:val="center" w:pos="4153"/>
        <w:tab w:val="right" w:pos="8306"/>
      </w:tabs>
      <w:snapToGrid w:val="0"/>
      <w:jc w:val="left"/>
    </w:pPr>
    <w:rPr>
      <w:sz w:val="18"/>
      <w:szCs w:val="18"/>
    </w:rPr>
  </w:style>
  <w:style w:type="paragraph" w:styleId="4">
    <w:name w:val="header"/>
    <w:basedOn w:val="1"/>
    <w:link w:val="8"/>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pPr>
      <w:ind w:firstLine="420" w:firstLineChars="200"/>
    </w:pPr>
  </w:style>
  <w:style w:type="paragraph" w:customStyle="1" w:styleId="7">
    <w:name w:val="Normal (Web)"/>
    <w:basedOn w:val="1"/>
    <w:pPr>
      <w:spacing w:before="75" w:beforeAutospacing="0" w:after="75" w:afterAutospacing="0"/>
      <w:ind w:left="0" w:right="0"/>
      <w:jc w:val="left"/>
    </w:pPr>
    <w:rPr>
      <w:kern w:val="0"/>
      <w:sz w:val="24"/>
      <w:lang w:val="en-US" w:eastAsia="zh-CN"/>
    </w:rPr>
  </w:style>
  <w:style w:type="character" w:customStyle="1" w:styleId="8">
    <w:name w:val="页眉 字符"/>
    <w:basedOn w:val="5"/>
    <w:link w:val="4"/>
    <w:semiHidden/>
    <w:rPr>
      <w:sz w:val="18"/>
      <w:szCs w:val="18"/>
    </w:rPr>
  </w:style>
  <w:style w:type="character" w:customStyle="1" w:styleId="9">
    <w:name w:val="页脚 字符"/>
    <w:basedOn w:val="5"/>
    <w:link w:val="3"/>
    <w:semiHidden/>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80</Words>
  <Characters>461</Characters>
  <Lines>3</Lines>
  <Paragraphs>1</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2023-05-25T22:46:00Z</dcterms:created>
  <dc:creator>岳 Young Yue</dc:creator>
  <cp:lastPrinted>2024-04-18T16:37:00Z</cp:lastPrinted>
  <dcterms:modified xsi:type="dcterms:W3CDTF">2024-05-27T14:31:59Z</dcterms:modified>
  <dc:title>zrcbank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4A704CBE99904EA787F611934C8817E9</vt:lpwstr>
  </property>
</Properties>
</file>