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“金港湾惠享1956期”定期报告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本报告期自2024年02月08日起至06月30日止。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金港湾惠享1956期净值型人民币理财产品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HX1956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C1115624000001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489,800,000.00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1.0128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1.0128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3.2500%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497,798,836.76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91.15%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444,133,427.06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81.32%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53,665,409.70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9.83%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48,258,842.30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8.84%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48,258,842.30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8.84%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79,618.46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546,137,297.52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444,133,427.06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81.32%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444,133,427.06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81.32%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000084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vertAlign w:val="baseline"/>
              </w:rPr>
              <w:t>博时安盈债券A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vertAlign w:val="baseline"/>
                <w:lang w:val="en-US" w:eastAsia="zh-CN"/>
              </w:rPr>
              <w:t>38,182,484.61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48,258,842.30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8.84%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253827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24常滨01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40,506,271.83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7.42%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102101226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vertAlign w:val="baseline"/>
              </w:rPr>
              <w:t>21义乌国资MTN004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vertAlign w:val="baseline"/>
                <w:lang w:val="en-US" w:eastAsia="zh-CN"/>
              </w:rPr>
              <w:t>31,500,000.00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vertAlign w:val="baseline"/>
                <w:lang w:val="en-US" w:eastAsia="zh-CN"/>
              </w:rPr>
              <w:t>5.77%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032480063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24溧水城建PPN002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31,035,652.13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5.68%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102100026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21上虞交通MTN001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30,989,645.25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5.67%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102380636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23南湖投资MTN001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30,942,446.30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5.67%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032480062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24嘉兴高新PPN001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30,940,465.08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5.67%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004555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南方和元A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23,783,655.22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25,474,673.11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4.66%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003280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鹏华丰恒债券A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22,715,1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08.67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25,156,982.85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4.61%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032380722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both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23湖州高新PPN001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21,328,938.47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right"/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3.91%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79,618.46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496,080,175.34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1631018A"/>
    <w:rsid w:val="1FE25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2024-07-09T08:07:00Z</dcterms:created>
  <dc:creator>zrc</dc:creator>
  <cp:lastModifiedBy>zrc</cp:lastModifiedBy>
  <dcterms:modified xsi:type="dcterms:W3CDTF">2024-07-11T08:49:51Z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