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  <w:lang w:eastAsia="zh-CN"/>
        </w:rPr>
        <w:t>华鑫信托·鑫苏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1130</w:t>
      </w:r>
      <w:r>
        <w:rPr>
          <w:rFonts w:hint="eastAsia" w:ascii="宋体" w:hAnsi="宋体" w:eastAsia="宋体"/>
          <w:sz w:val="28"/>
          <w:szCs w:val="32"/>
          <w:lang w:eastAsia="zh-CN"/>
        </w:rPr>
        <w:t>号</w:t>
      </w:r>
      <w:r>
        <w:rPr>
          <w:rFonts w:hint="eastAsia" w:ascii="宋体" w:hAnsi="宋体" w:eastAsia="宋体"/>
          <w:sz w:val="28"/>
          <w:szCs w:val="32"/>
        </w:rPr>
        <w:t>集合资金信托计划</w:t>
      </w:r>
      <w:r>
        <w:rPr>
          <w:rFonts w:hint="eastAsia" w:ascii="宋体" w:hAnsi="宋体" w:eastAsia="宋体"/>
          <w:sz w:val="28"/>
          <w:szCs w:val="32"/>
          <w:lang w:eastAsia="zh-CN"/>
        </w:rPr>
        <w:t>（第三期）</w:t>
      </w:r>
      <w:r>
        <w:rPr>
          <w:rFonts w:hint="eastAsia" w:ascii="宋体" w:hAnsi="宋体" w:eastAsia="宋体"/>
          <w:sz w:val="28"/>
          <w:szCs w:val="32"/>
        </w:rPr>
        <w:t>要素</w:t>
      </w:r>
      <w:r>
        <w:rPr>
          <w:rFonts w:hint="eastAsia" w:ascii="宋体" w:hAnsi="宋体" w:eastAsia="宋体"/>
          <w:sz w:val="28"/>
          <w:szCs w:val="32"/>
          <w:lang w:eastAsia="zh-CN"/>
        </w:rPr>
        <w:t>表</w:t>
      </w:r>
    </w:p>
    <w:p>
      <w:pPr>
        <w:spacing w:line="360" w:lineRule="auto"/>
        <w:rPr>
          <w:rFonts w:ascii="宋体" w:hAnsi="宋体" w:eastAsia="宋体"/>
        </w:rPr>
      </w:pPr>
    </w:p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607"/>
        <w:gridCol w:w="2835"/>
        <w:gridCol w:w="1780"/>
      </w:tblGrid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产品名称、</w:t>
            </w:r>
          </w:p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合同编号及信托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登记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编码</w:t>
            </w:r>
          </w:p>
          <w:p>
            <w:pPr>
              <w:pStyle w:val="2"/>
            </w:pP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产品名称：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华鑫信托·鑫苏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1130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号</w:t>
            </w:r>
            <w:r>
              <w:rPr>
                <w:rFonts w:ascii="宋体" w:hAnsi="宋体" w:eastAsia="宋体"/>
                <w:sz w:val="24"/>
                <w:szCs w:val="24"/>
              </w:rPr>
              <w:t>集合资金信托计划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信托合同编号：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华鑫集信字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2024774号-信托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信托登记编码：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ZXD39H202406010129196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产品类型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</w:rPr>
              <w:t>固定收益类集合资金信托计划</w:t>
            </w:r>
          </w:p>
        </w:tc>
      </w:tr>
      <w:bookmarkEnd w:id="0"/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风险等级</w:t>
            </w:r>
          </w:p>
        </w:tc>
        <w:tc>
          <w:tcPr>
            <w:tcW w:w="160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级中风险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信托公司内部风险等级</w:t>
            </w:r>
          </w:p>
        </w:tc>
        <w:tc>
          <w:tcPr>
            <w:tcW w:w="1780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级中风险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受托管理人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华鑫国际信托有限公司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存续期限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1年期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投资范围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pStyle w:val="6"/>
              <w:numPr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向借款人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江苏金坛建设发展有限公司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发放信托贷款。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增信措施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投资起点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人民币1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万元起，并以1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万元的整数倍递增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业绩基准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3.9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%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代销规模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本期不超过980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退出方式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到期退出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投资者费用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无认购、申购、到期赎回费用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推荐部门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资产管理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部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时间安排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募集期：2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4-6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冷静期：2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起息日：2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到期日：2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（根据发行情况调整，以发行前要素为准）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提示：本产品由</w:t>
      </w:r>
      <w:r>
        <w:rPr>
          <w:rFonts w:hint="eastAsia" w:ascii="宋体" w:hAnsi="宋体" w:eastAsia="宋体"/>
          <w:sz w:val="21"/>
          <w:szCs w:val="21"/>
          <w:lang w:eastAsia="zh-CN"/>
        </w:rPr>
        <w:t>华鑫国际信托有限公司</w:t>
      </w:r>
      <w:r>
        <w:rPr>
          <w:rFonts w:hint="eastAsia" w:ascii="宋体" w:hAnsi="宋体" w:eastAsia="宋体"/>
          <w:sz w:val="21"/>
          <w:szCs w:val="21"/>
        </w:rPr>
        <w:t>发</w:t>
      </w:r>
      <w:r>
        <w:rPr>
          <w:rFonts w:hint="eastAsia" w:ascii="宋体" w:hAnsi="宋体" w:eastAsia="宋体"/>
        </w:rPr>
        <w:t>行与管理，张家港农商行作为代销机构不承担产品的投资、兑付和风险管理责任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</w:style>
  <w:style w:type="paragraph" w:styleId="2">
    <w:name w:val="Body Text"/>
    <w:basedOn w:val="1"/>
    <w:pPr>
      <w:spacing w:before="1"/>
      <w:ind w:left="120"/>
    </w:pPr>
    <w:rPr>
      <w:sz w:val="24"/>
    </w:rPr>
  </w:style>
  <w:style w:type="paragraph" w:styleId="3">
    <w:name w:val="footer"/>
    <w:basedOn w:val="1"/>
    <w:link w:val="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pPr>
      <w:ind w:firstLine="420" w:firstLineChars="200"/>
    </w:pPr>
  </w:style>
  <w:style w:type="paragraph" w:customStyle="1" w:styleId="7">
    <w:name w:val="Normal (Web)"/>
    <w:basedOn w:val="1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/>
    </w:rPr>
  </w:style>
  <w:style w:type="character" w:customStyle="1" w:styleId="8">
    <w:name w:val="页眉 字符"/>
    <w:basedOn w:val="5"/>
    <w:link w:val="4"/>
    <w:semiHidden/>
    <w:rPr>
      <w:sz w:val="18"/>
      <w:szCs w:val="18"/>
    </w:rPr>
  </w:style>
  <w:style w:type="character" w:customStyle="1" w:styleId="9">
    <w:name w:val="页脚 字符"/>
    <w:basedOn w:val="5"/>
    <w:link w:val="3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2023-05-25T22:46:00Z</dcterms:created>
  <dc:creator>岳 Young Yue</dc:creator>
  <cp:lastPrinted>2024-07-09T09:17:00Z</cp:lastPrinted>
  <dcterms:modified xsi:type="dcterms:W3CDTF">2024-10-30T10:10:37Z</dcterms:modified>
  <dc:title>zrcbank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4A704CBE99904EA787F611934C8817E9</vt:lpwstr>
  </property>
</Properties>
</file>