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200"/>
        <w:gridCol w:w="1800"/>
        <w:gridCol w:w="400"/>
        <w:gridCol w:w="400"/>
        <w:gridCol w:w="400"/>
        <w:gridCol w:w="20"/>
        <w:gridCol w:w="980"/>
        <w:gridCol w:w="1600"/>
        <w:gridCol w:w="400"/>
        <w:gridCol w:w="200"/>
        <w:gridCol w:w="200"/>
        <w:gridCol w:w="220"/>
        <w:gridCol w:w="1380"/>
        <w:gridCol w:w="1700"/>
        <w:gridCol w:w="20"/>
        <w:gridCol w:w="780"/>
      </w:tblGrid>
      <w:tr>
        <w:tblPrEx>
          <w:tblCellMar>
            <w:top w:w="0" w:type="dxa"/>
            <w:left w:w="10" w:type="dxa"/>
            <w:bottom w:w="0" w:type="dxa"/>
            <w:right w:w="10" w:type="dxa"/>
          </w:tblCellMar>
        </w:tblPrEx>
        <w:trPr>
          <w:trHeight w:val="0" w:hRule="atLeast"/>
        </w:trPr>
        <w:tc>
          <w:tcPr>
            <w:tcW w:w="1" w:type="dxa"/>
          </w:tcPr>
          <w:p>
            <w:pPr>
              <w:pStyle w:val="4"/>
            </w:pPr>
            <w:bookmarkStart w:id="3" w:name="_GoBack"/>
            <w:bookmarkEnd w:id="3"/>
            <w:bookmarkStart w:id="0" w:name="JR_PAGE_ANCHOR_0_1"/>
            <w:bookmarkEnd w:id="0"/>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18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“金港湾天天享”定期报告</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发布时间：2024年09月30日</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本报告期自2024年07月01日起至09月30日止。</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tcPr>
          <w:p>
            <w:pPr>
              <w:pStyle w:val="4"/>
            </w:pPr>
          </w:p>
        </w:tc>
      </w:tr>
      <w:tr>
        <w:tblPrEx>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金港湾天天享净值型人民币理财产品</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TTX001</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C1115619000093</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3,578,014,000.00</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1.0000</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报告期末每万份收益</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0.4750</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1.9203</w:t>
            </w:r>
            <w:r>
              <w:rPr>
                <w:rFonts w:ascii="原版宋体" w:hAnsi="原版宋体" w:eastAsia="原版宋体" w:cs="原版宋体"/>
                <w:color w:val="000000"/>
                <w:sz w:val="20"/>
              </w:rPr>
              <w:t>%</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3,954,789,691.88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99.44%</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3,954,789,691.88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99.44%</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686,187,288.68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17.25%</w:t>
            </w:r>
          </w:p>
        </w:tc>
        <w:tc>
          <w:tcPr>
            <w:tcW w:w="800" w:type="dxa"/>
            <w:gridSpan w:val="2"/>
          </w:tcPr>
          <w:p>
            <w:pPr>
              <w:pStyle w:val="4"/>
            </w:pPr>
          </w:p>
        </w:tc>
      </w:tr>
      <w:tr>
        <w:tblPrEx>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gridSpan w:val="2"/>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22,114,853.62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0.56%</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3,976,904,545.50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gridSpan w:val="2"/>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eastAsia="原版宋体"/>
                <w:lang w:val="en-US" w:eastAsia="zh-CN"/>
              </w:rPr>
            </w:pPr>
            <w:r>
              <w:rPr>
                <w:rFonts w:hint="eastAsia" w:ascii="原版宋体" w:hAnsi="原版宋体" w:eastAsia="原版宋体" w:cs="原版宋体"/>
                <w:color w:val="000000"/>
                <w:sz w:val="20"/>
                <w:lang w:val="en-US" w:eastAsia="zh-CN"/>
              </w:rPr>
              <w:t>2，471，796，704.81</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lang w:val="en-US" w:eastAsia="zh-CN"/>
              </w:rPr>
              <w:t>62.15</w:t>
            </w:r>
            <w:r>
              <w:rPr>
                <w:rFonts w:ascii="原版宋体" w:hAnsi="原版宋体" w:eastAsia="原版宋体" w:cs="原版宋体"/>
                <w:color w:val="000000"/>
                <w:sz w:val="20"/>
              </w:rPr>
              <w:t>%</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235,312,631.79</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5.92%</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eastAsia="原版宋体"/>
                <w:lang w:val="en-US" w:eastAsia="zh-CN"/>
              </w:rPr>
            </w:pPr>
            <w:r>
              <w:rPr>
                <w:rFonts w:hint="eastAsia" w:ascii="原版宋体" w:hAnsi="原版宋体" w:eastAsia="原版宋体" w:cs="原版宋体"/>
                <w:color w:val="000000"/>
                <w:sz w:val="20"/>
                <w:lang w:val="en-US" w:eastAsia="zh-CN"/>
              </w:rPr>
              <w:t>469，993，559.91</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lang w:val="en-US" w:eastAsia="zh-CN"/>
              </w:rPr>
              <w:t>11.82</w:t>
            </w:r>
            <w:r>
              <w:rPr>
                <w:rFonts w:ascii="原版宋体" w:hAnsi="原版宋体" w:eastAsia="原版宋体" w:cs="原版宋体"/>
                <w:color w:val="000000"/>
                <w:sz w:val="20"/>
              </w:rPr>
              <w:t>%</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326,812,138.48</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8.22%</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3,268,602,403.20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82.19%</w:t>
            </w:r>
          </w:p>
        </w:tc>
        <w:tc>
          <w:tcPr>
            <w:tcW w:w="780" w:type="dxa"/>
          </w:tcPr>
          <w:p>
            <w:pPr>
              <w:pStyle w:val="4"/>
            </w:pPr>
          </w:p>
        </w:tc>
      </w:tr>
      <w:tr>
        <w:tblPrEx>
          <w:tblCellMar>
            <w:top w:w="0" w:type="dxa"/>
            <w:left w:w="10" w:type="dxa"/>
            <w:bottom w:w="0" w:type="dxa"/>
            <w:right w:w="10" w:type="dxa"/>
          </w:tblCellMar>
        </w:tblPrEx>
        <w:trPr>
          <w:trHeight w:val="1180" w:hRule="exact"/>
        </w:trPr>
        <w:tc>
          <w:tcPr>
            <w:tcW w:w="1" w:type="dxa"/>
          </w:tcPr>
          <w:p>
            <w:pPr>
              <w:pStyle w:val="4"/>
            </w:pPr>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gridSpan w:val="2"/>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报告期末按市值占产品资产净值比例大小排名前十的资产投资明细</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eastAsia="原版宋体"/>
                <w:lang w:val="en-US" w:eastAsia="zh-CN"/>
              </w:rPr>
            </w:pPr>
            <w:r>
              <w:rPr>
                <w:rFonts w:hint="eastAsia" w:ascii="原版宋体" w:hAnsi="原版宋体" w:eastAsia="原版宋体" w:cs="原版宋体"/>
                <w:color w:val="000000"/>
                <w:sz w:val="20"/>
                <w:lang w:val="en-US" w:eastAsia="zh-CN"/>
              </w:rPr>
              <w:t>686，018，000.00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686,187,288.68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19.18%</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112306244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23交通银行CD244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199,833,669.69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5.59%</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112405299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24建设银行CD299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199,348,843.55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5.57%</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185010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21海通11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154,146,276.02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4.31%</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188874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21华泰13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144,420,707.12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210218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21国开18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102,543,678.37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2.87%</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220332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22进出32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102,149,810.14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2.85%</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012481110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24赣州发展SCP001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101,166,709.11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2.83%</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112406068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24交通银行CD068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99,717,852.48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2.79%</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112403153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24农业银行CD153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99,593,674.90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2.78%</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257,427,485.41</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3,578,014,000.00</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7.19%</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82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12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108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4  理财份额投资人信息</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4.1 报告期末现金管理类产品前十大份额投资人情况</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序号</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投资者类别</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持有份额（份）</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占总份额占比（%）</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79,000,000.00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2.21%</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个人</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61,860,000.00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1.73%</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50,000,000.00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1.40%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39,810,000.00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1.11%</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34,000,000.00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0.95%</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28,000,000.00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0.78%</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27,000,000.00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0.75%</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个人</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22,227,000.00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0.62%</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22,000,000.00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0.61%</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21,430,000.00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10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5  影响理财份额投资人决策的其他重要信息</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2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5.1 报告期内单一投资者持有产品份额达到或者超过该产品总份额20%的情形</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2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20" w:type="dxa"/>
            <w:gridSpan w:val="16"/>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2024年09月30日</w:t>
            </w:r>
          </w:p>
        </w:tc>
        <w:tc>
          <w:tcPr>
            <w:tcW w:w="20" w:type="dxa"/>
          </w:tcPr>
          <w:p>
            <w:pPr>
              <w:pStyle w:val="4"/>
            </w:pPr>
          </w:p>
        </w:tc>
        <w:tc>
          <w:tcPr>
            <w:tcW w:w="780" w:type="dxa"/>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原版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800"/>
  <w:compat>
    <w:useFELayout/>
    <w:splitPgBreakAndParaMark/>
    <w:compatSetting w:name="compatibilityMode" w:uri="http://schemas.microsoft.com/office/word" w:val="12"/>
  </w:compat>
  <w:rsids>
    <w:rsidRoot w:val="00000000"/>
    <w:rsid w:val="02475615"/>
    <w:rsid w:val="22840B68"/>
    <w:rsid w:val="263E4ADE"/>
    <w:rsid w:val="4CC555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48</TotalTime>
  <ScaleCrop>false</ScaleCrop>
  <LinksUpToDate>false</LinksUpToDate>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2024-10-10T05:50:00Z</dcterms:created>
  <dc:creator>zrc</dc:creator>
  <cp:lastModifiedBy>zrcbank</cp:lastModifiedBy>
  <dcterms:modified xsi:type="dcterms:W3CDTF">2024-10-23T01:14:10Z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338B5F8E6F5E4A81AE860EAC1AC025E9</vt:lpwstr>
  </property>
</Properties>
</file>