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hint="eastAsia" w:ascii="宋体" w:hAnsi="宋体" w:eastAsia="宋体"/>
          <w:sz w:val="28"/>
          <w:szCs w:val="32"/>
          <w:lang w:eastAsia="zh-CN"/>
        </w:rPr>
      </w:pPr>
      <w:r>
        <w:rPr>
          <w:rFonts w:hint="eastAsia" w:ascii="宋体" w:hAnsi="宋体" w:eastAsia="宋体"/>
          <w:sz w:val="28"/>
          <w:szCs w:val="32"/>
          <w:lang w:eastAsia="zh-CN"/>
        </w:rPr>
        <w:t>华鑫信托·建业239号</w:t>
      </w:r>
      <w:r>
        <w:rPr>
          <w:rFonts w:hint="eastAsia" w:ascii="宋体" w:hAnsi="宋体" w:eastAsia="宋体"/>
          <w:sz w:val="28"/>
          <w:szCs w:val="32"/>
        </w:rPr>
        <w:t>集合资金信托计划要素</w:t>
      </w:r>
      <w:r>
        <w:rPr>
          <w:rFonts w:hint="eastAsia" w:ascii="宋体" w:hAnsi="宋体" w:eastAsia="宋体"/>
          <w:sz w:val="28"/>
          <w:szCs w:val="32"/>
          <w:lang w:eastAsia="zh-CN"/>
        </w:rPr>
        <w:t>表</w:t>
      </w:r>
    </w:p>
    <w:p>
      <w:pPr>
        <w:spacing w:line="360" w:lineRule="auto"/>
        <w:rPr>
          <w:rFonts w:ascii="宋体" w:hAnsi="宋体" w:eastAsia="宋体"/>
        </w:rPr>
      </w:pPr>
    </w:p>
    <w:tbl>
      <w:tblPr>
        <w:tblW w:w="8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607"/>
        <w:gridCol w:w="2835"/>
        <w:gridCol w:w="1780"/>
      </w:tblGrid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产品名称、</w:t>
            </w:r>
          </w:p>
          <w:p>
            <w:pPr>
              <w:spacing w:line="360" w:lineRule="auto"/>
              <w:jc w:val="left"/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合同编号及信托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登记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编码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产品名称：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华鑫信托·建业239号</w:t>
            </w:r>
            <w:r>
              <w:rPr>
                <w:rFonts w:ascii="宋体" w:hAnsi="宋体" w:eastAsia="宋体"/>
                <w:sz w:val="24"/>
                <w:szCs w:val="24"/>
              </w:rPr>
              <w:t>集合资金信托计划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信托合同编号：</w:t>
            </w:r>
            <w:r>
              <w:rPr>
                <w:rFonts w:hint="eastAsia"/>
                <w:sz w:val="24"/>
                <w:szCs w:val="28"/>
              </w:rPr>
              <w:t>华</w:t>
            </w:r>
            <w:r>
              <w:rPr>
                <w:rFonts w:hint="eastAsia"/>
                <w:sz w:val="24"/>
                <w:szCs w:val="24"/>
              </w:rPr>
              <w:t>鑫集信字20241305号-信托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信托登记编码：</w:t>
            </w:r>
            <w:r>
              <w:rPr>
                <w:rFonts w:hint="eastAsia"/>
              </w:rPr>
              <w:t>ZXD39H202410010041359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产品类型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</w:rPr>
              <w:t>固定收益类集合资金信托计划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风险等级</w:t>
            </w:r>
          </w:p>
        </w:tc>
        <w:tc>
          <w:tcPr>
            <w:tcW w:w="1607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R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级中风险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信托公司内部风险等级</w:t>
            </w:r>
          </w:p>
        </w:tc>
        <w:tc>
          <w:tcPr>
            <w:tcW w:w="1780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R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级中风险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受托管理人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华鑫国际信托有限公司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存续期限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1年期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投资范围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pStyle w:val="6"/>
              <w:numPr>
                <w:numId w:val="0"/>
              </w:numPr>
              <w:spacing w:line="360" w:lineRule="auto"/>
              <w:ind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向借款人</w:t>
            </w:r>
            <w:r>
              <w:rPr>
                <w:rFonts w:hint="eastAsia"/>
              </w:rPr>
              <w:t>江阴城市发展集团有限公司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发放信托贷款。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增信措施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投资起点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人民币1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万元起，并以1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万元的整数倍递增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业绩基准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单笔100万（含）-500万，3.5%/年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单笔500万（含）以上，3.6%/年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代销规模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本期不超过15000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退出方式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到期退出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投资者费用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无认购、申购、到期赎回费用</w:t>
            </w:r>
            <w:bookmarkStart w:id="0" w:name="_GoBack"/>
            <w:bookmarkEnd w:id="0"/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推荐部门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资产管理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部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时间安排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募集期：2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25-27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冷静期：2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起息日：2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到期日：2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（根据发行情况调整，以发行前要素为准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，到期日遇节假日顺延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提示：本产品由</w:t>
      </w:r>
      <w:r>
        <w:rPr>
          <w:rFonts w:hint="eastAsia" w:ascii="宋体" w:hAnsi="宋体" w:eastAsia="宋体"/>
          <w:sz w:val="21"/>
          <w:szCs w:val="21"/>
          <w:lang w:eastAsia="zh-CN"/>
        </w:rPr>
        <w:t>华鑫国际信托有限公司</w:t>
      </w:r>
      <w:r>
        <w:rPr>
          <w:rFonts w:hint="eastAsia" w:ascii="宋体" w:hAnsi="宋体" w:eastAsia="宋体"/>
          <w:sz w:val="21"/>
          <w:szCs w:val="21"/>
        </w:rPr>
        <w:t>发</w:t>
      </w:r>
      <w:r>
        <w:rPr>
          <w:rFonts w:hint="eastAsia" w:ascii="宋体" w:hAnsi="宋体" w:eastAsia="宋体"/>
        </w:rPr>
        <w:t>行与管理，张家港农商行作为代销机构不承担产品的投资、兑付和风险管理责任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singleLevel"/>
    <w:tmpl w:val="0000000A"/>
    <w:lvl w:ilvl="0" w:tentative="1">
      <w:start w:val="1"/>
      <w:numFmt w:val="upperLetter"/>
      <w:suff w:val="nothing"/>
      <w:lvlText w:val="%1."/>
      <w:lvlJc w:val="left"/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</w:style>
  <w:style w:type="paragraph" w:styleId="2">
    <w:name w:val="Body Text"/>
    <w:basedOn w:val="1"/>
    <w:pPr>
      <w:spacing w:before="1"/>
      <w:ind w:left="120"/>
    </w:pPr>
    <w:rPr>
      <w:sz w:val="24"/>
    </w:rPr>
  </w:style>
  <w:style w:type="paragraph" w:styleId="3">
    <w:name w:val="footer"/>
    <w:basedOn w:val="1"/>
    <w:link w:val="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pPr>
      <w:ind w:firstLine="420" w:firstLineChars="200"/>
    </w:pPr>
  </w:style>
  <w:style w:type="paragraph" w:customStyle="1" w:styleId="7">
    <w:name w:val="Normal (Web)"/>
    <w:basedOn w:val="1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/>
    </w:rPr>
  </w:style>
  <w:style w:type="character" w:customStyle="1" w:styleId="8">
    <w:name w:val="page number"/>
    <w:rPr>
      <w:rFonts w:ascii="Times New Roman" w:hAnsi="Times New Roman" w:cs="Times New Roman"/>
      <w:szCs w:val="20"/>
    </w:rPr>
  </w:style>
  <w:style w:type="character" w:customStyle="1" w:styleId="9">
    <w:name w:val="页眉 字符"/>
    <w:basedOn w:val="5"/>
    <w:link w:val="4"/>
    <w:semiHidden/>
    <w:rPr>
      <w:sz w:val="18"/>
      <w:szCs w:val="18"/>
    </w:rPr>
  </w:style>
  <w:style w:type="character" w:customStyle="1" w:styleId="10">
    <w:name w:val="页脚 字符"/>
    <w:basedOn w:val="5"/>
    <w:link w:val="3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2023-05-26T14:46:00Z</dcterms:created>
  <dc:creator>岳 Young Yue</dc:creator>
  <cp:lastPrinted>2024-07-10T01:17:00Z</cp:lastPrinted>
  <dcterms:modified xsi:type="dcterms:W3CDTF">2024-11-22T16:53:23Z</dcterms:modified>
  <dc:title>zrcbank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5B1A785338FD4EE4A2E24170AAE03BE6</vt:lpwstr>
  </property>
</Properties>
</file>