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rPr>
        <w:t>厦门信托-无锡锡山资产集合资金信托计划要素</w:t>
      </w:r>
      <w:r>
        <w:rPr>
          <w:rFonts w:hint="eastAsia" w:ascii="宋体" w:hAnsi="宋体" w:eastAsia="宋体"/>
          <w:sz w:val="28"/>
          <w:szCs w:val="32"/>
          <w:lang w:eastAsia="zh-CN"/>
        </w:rPr>
        <w:t>表</w:t>
      </w:r>
    </w:p>
    <w:p>
      <w:pPr>
        <w:spacing w:line="360" w:lineRule="auto"/>
        <w:rPr>
          <w:rFonts w:ascii="宋体" w:hAnsi="宋体" w:eastAsia="宋体"/>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w:t>
            </w:r>
          </w:p>
          <w:p>
            <w:pPr>
              <w:spacing w:line="360" w:lineRule="auto"/>
              <w:jc w:val="left"/>
            </w:pPr>
            <w:r>
              <w:rPr>
                <w:rFonts w:hint="eastAsia" w:ascii="宋体" w:hAnsi="宋体" w:eastAsia="宋体"/>
                <w:sz w:val="24"/>
                <w:szCs w:val="24"/>
                <w:lang w:eastAsia="zh-CN"/>
              </w:rPr>
              <w:t>登记</w:t>
            </w:r>
            <w:r>
              <w:rPr>
                <w:rFonts w:hint="eastAsia" w:ascii="宋体" w:hAnsi="宋体" w:eastAsia="宋体"/>
                <w:sz w:val="24"/>
                <w:szCs w:val="24"/>
              </w:rPr>
              <w:t>编码</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产品名称：厦门信托-无锡锡山资产集合资金信托计划</w:t>
            </w:r>
          </w:p>
          <w:p>
            <w:pPr>
              <w:spacing w:line="360" w:lineRule="auto"/>
              <w:rPr>
                <w:rFonts w:hint="default" w:ascii="宋体" w:hAnsi="宋体" w:eastAsia="宋体"/>
                <w:sz w:val="24"/>
                <w:szCs w:val="24"/>
                <w:lang w:val="en-US"/>
              </w:rPr>
            </w:pPr>
            <w:r>
              <w:rPr>
                <w:rFonts w:hint="eastAsia" w:ascii="宋体" w:hAnsi="宋体" w:eastAsia="宋体"/>
                <w:sz w:val="24"/>
                <w:szCs w:val="24"/>
              </w:rPr>
              <w:t>信托登记编码：ZXD202412030000006474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厦门</w:t>
            </w:r>
            <w:r>
              <w:rPr>
                <w:rFonts w:hint="eastAsia" w:ascii="宋体" w:hAnsi="宋体" w:eastAsia="宋体"/>
                <w:sz w:val="24"/>
                <w:szCs w:val="24"/>
                <w:lang w:eastAsia="zh-CN"/>
              </w:rPr>
              <w:t>国际信托有限公司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8"/>
              <w:numPr>
                <w:ilvl w:val="0"/>
                <w:numId w:val="0"/>
              </w:numPr>
              <w:spacing w:line="360" w:lineRule="auto"/>
              <w:ind w:leftChars="0"/>
              <w:rPr>
                <w:rFonts w:ascii="宋体" w:hAnsi="宋体" w:eastAsia="宋体"/>
                <w:sz w:val="24"/>
                <w:szCs w:val="24"/>
              </w:rPr>
            </w:pPr>
            <w:r>
              <w:rPr>
                <w:rFonts w:hint="eastAsia" w:ascii="宋体" w:hAnsi="宋体" w:eastAsia="宋体"/>
                <w:sz w:val="24"/>
                <w:szCs w:val="24"/>
              </w:rPr>
              <w:t>向无锡锡山资产经营</w:t>
            </w:r>
            <w:bookmarkStart w:id="0" w:name="_GoBack"/>
            <w:bookmarkEnd w:id="0"/>
            <w:r>
              <w:rPr>
                <w:rFonts w:hint="eastAsia" w:ascii="宋体" w:hAnsi="宋体" w:eastAsia="宋体"/>
                <w:sz w:val="24"/>
                <w:szCs w:val="24"/>
              </w:rPr>
              <w:t>管理有限公司提供债权投资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无锡市锡州产城控股集团有限公司为本信托计划提供连带责任保证担保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numPr>
                <w:ilvl w:val="0"/>
                <w:numId w:val="0"/>
              </w:numPr>
              <w:spacing w:line="360" w:lineRule="auto"/>
              <w:rPr>
                <w:rFonts w:hint="eastAsia"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3.6%/年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本期不超过10000</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13-17</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18</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到期日：2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19</w:t>
            </w:r>
            <w:r>
              <w:rPr>
                <w:rFonts w:hint="eastAsia" w:ascii="宋体" w:hAnsi="宋体" w:eastAsia="宋体"/>
                <w:sz w:val="24"/>
                <w:szCs w:val="24"/>
                <w:highlight w:val="none"/>
              </w:rPr>
              <w:t>日</w:t>
            </w:r>
          </w:p>
          <w:p>
            <w:pPr>
              <w:spacing w:line="360" w:lineRule="auto"/>
              <w:rPr>
                <w:rFonts w:ascii="宋体" w:hAnsi="宋体" w:eastAsia="宋体"/>
                <w:sz w:val="24"/>
                <w:szCs w:val="24"/>
              </w:rPr>
            </w:pPr>
            <w:r>
              <w:rPr>
                <w:rFonts w:hint="eastAsia" w:ascii="宋体" w:hAnsi="宋体" w:eastAsia="宋体"/>
                <w:sz w:val="24"/>
                <w:szCs w:val="24"/>
              </w:rPr>
              <w:t>（根据发行情况调整，以发行前要素为准</w:t>
            </w:r>
            <w:r>
              <w:rPr>
                <w:rFonts w:hint="eastAsia" w:ascii="宋体" w:hAnsi="宋体" w:eastAsia="宋体"/>
                <w:sz w:val="24"/>
                <w:szCs w:val="24"/>
                <w:lang w:eastAsia="zh-CN"/>
              </w:rPr>
              <w:t>，到期日遇节假日顺延</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lang w:val="en-US" w:eastAsia="zh-CN"/>
        </w:rPr>
        <w:t>厦门</w:t>
      </w:r>
      <w:r>
        <w:rPr>
          <w:rFonts w:hint="eastAsia" w:ascii="宋体" w:hAnsi="宋体" w:eastAsia="宋体"/>
          <w:lang w:eastAsia="zh-CN"/>
        </w:rPr>
        <w:t>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_PDF_Subs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0B2C35"/>
    <w:rsid w:val="3E2D50E9"/>
    <w:rsid w:val="46807FFC"/>
    <w:rsid w:val="47DB1BFB"/>
    <w:rsid w:val="4E8038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
      <w:ind w:left="120"/>
    </w:pPr>
    <w:rPr>
      <w:sz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paragraph" w:customStyle="1" w:styleId="8">
    <w:name w:val="List Paragraph"/>
    <w:basedOn w:val="1"/>
    <w:qFormat/>
    <w:uiPriority w:val="0"/>
    <w:pPr>
      <w:ind w:firstLine="420" w:firstLineChars="200"/>
    </w:pPr>
  </w:style>
  <w:style w:type="paragraph" w:customStyle="1" w:styleId="9">
    <w:name w:val="Normal (Web)"/>
    <w:basedOn w:val="1"/>
    <w:qFormat/>
    <w:uiPriority w:val="0"/>
    <w:pPr>
      <w:spacing w:before="75" w:beforeAutospacing="0" w:after="75" w:afterAutospacing="0"/>
      <w:ind w:left="0" w:right="0"/>
      <w:jc w:val="left"/>
    </w:pPr>
    <w:rPr>
      <w:kern w:val="0"/>
      <w:sz w:val="24"/>
      <w:lang w:val="en-US" w:eastAsia="zh-CN"/>
    </w:rPr>
  </w:style>
  <w:style w:type="character" w:customStyle="1" w:styleId="10">
    <w:name w:val="页眉 字符"/>
    <w:basedOn w:val="6"/>
    <w:link w:val="4"/>
    <w:semiHidden/>
    <w:qFormat/>
    <w:uiPriority w:val="0"/>
    <w:rPr>
      <w:sz w:val="18"/>
      <w:szCs w:val="18"/>
    </w:rPr>
  </w:style>
  <w:style w:type="character" w:customStyle="1" w:styleId="11">
    <w:name w:val="页脚 字符"/>
    <w:basedOn w:val="6"/>
    <w:link w:val="3"/>
    <w:semiHidden/>
    <w:qFormat/>
    <w:uiPriority w:val="0"/>
    <w:rPr>
      <w:sz w:val="18"/>
      <w:szCs w:val="18"/>
    </w:rPr>
  </w:style>
  <w:style w:type="character" w:customStyle="1" w:styleId="12">
    <w:name w:val="page number"/>
    <w:qFormat/>
    <w:uiPriority w:val="0"/>
    <w:rPr>
      <w:rFonts w:ascii="Times New Roman" w:hAnsi="Times New Roman" w:cs="Times New Roman"/>
      <w:szCs w:val="20"/>
    </w:rPr>
  </w:style>
  <w:style w:type="character" w:customStyle="1" w:styleId="13">
    <w:name w:val="fontstyle01"/>
    <w:basedOn w:val="6"/>
    <w:uiPriority w:val="0"/>
    <w:rPr>
      <w:rFonts w:ascii="SimSun_PDF_Subset" w:hAnsi="SimSun_PDF_Subset" w:eastAsia="SimSun_PDF_Subset" w:cs="SimSun_PDF_Subset"/>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2023-05-26T06:46:00Z</dcterms:created>
  <dc:creator>岳 Young Yue</dc:creator>
  <cp:lastModifiedBy>zrc</cp:lastModifiedBy>
  <cp:lastPrinted>2024-07-09T17:17:00Z</cp:lastPrinted>
  <dcterms:modified xsi:type="dcterms:W3CDTF">2024-12-06T01:33:36Z</dcterms:modified>
  <dc:title>zrcbank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5B1A785338FD4EE4A2E24170AAE03BE6</vt:lpwstr>
  </property>
</Properties>
</file>