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eastAsia="宋体"/>
          <w:sz w:val="28"/>
          <w:szCs w:val="32"/>
          <w:lang w:eastAsia="zh-CN"/>
        </w:rPr>
      </w:pPr>
      <w:r>
        <w:rPr>
          <w:rFonts w:hint="eastAsia" w:ascii="宋体" w:hAnsi="宋体" w:eastAsia="宋体"/>
          <w:sz w:val="28"/>
          <w:szCs w:val="32"/>
        </w:rPr>
        <w:t>厦门信托-梁溪城发集合资金信托计划要素</w:t>
      </w:r>
      <w:r>
        <w:rPr>
          <w:rFonts w:hint="eastAsia" w:ascii="宋体" w:hAnsi="宋体" w:eastAsia="宋体"/>
          <w:sz w:val="28"/>
          <w:szCs w:val="32"/>
          <w:lang w:eastAsia="zh-CN"/>
        </w:rPr>
        <w:t>表</w:t>
      </w:r>
    </w:p>
    <w:p>
      <w:pPr>
        <w:spacing w:line="360" w:lineRule="auto"/>
        <w:rPr>
          <w:rFonts w:ascii="宋体" w:hAnsi="宋体" w:eastAsia="宋体"/>
        </w:rPr>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产品名称、</w:t>
            </w:r>
          </w:p>
          <w:p>
            <w:pPr>
              <w:spacing w:line="360" w:lineRule="auto"/>
              <w:jc w:val="left"/>
            </w:pPr>
            <w:r>
              <w:rPr>
                <w:rFonts w:hint="eastAsia" w:ascii="宋体" w:hAnsi="宋体" w:eastAsia="宋体"/>
                <w:sz w:val="24"/>
                <w:szCs w:val="24"/>
                <w:lang w:eastAsia="zh-CN"/>
              </w:rPr>
              <w:t>登记</w:t>
            </w:r>
            <w:r>
              <w:rPr>
                <w:rFonts w:hint="eastAsia" w:ascii="宋体" w:hAnsi="宋体" w:eastAsia="宋体"/>
                <w:sz w:val="24"/>
                <w:szCs w:val="24"/>
              </w:rPr>
              <w:t>编码</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产品名称：厦门信托-梁溪城发集合资金信托计划</w:t>
            </w:r>
          </w:p>
          <w:p>
            <w:pPr>
              <w:spacing w:line="360" w:lineRule="auto"/>
              <w:rPr>
                <w:rFonts w:hint="default" w:ascii="宋体" w:hAnsi="宋体" w:eastAsia="宋体"/>
                <w:sz w:val="24"/>
                <w:szCs w:val="24"/>
                <w:lang w:val="en-US"/>
              </w:rPr>
            </w:pPr>
            <w:r>
              <w:rPr>
                <w:rFonts w:hint="eastAsia" w:ascii="宋体" w:hAnsi="宋体" w:eastAsia="宋体"/>
                <w:sz w:val="24"/>
                <w:szCs w:val="24"/>
              </w:rPr>
              <w:t>登记编码：ZXD202412200000004837</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厦门</w:t>
            </w:r>
            <w:r>
              <w:rPr>
                <w:rFonts w:hint="eastAsia" w:ascii="宋体" w:hAnsi="宋体" w:eastAsia="宋体"/>
                <w:sz w:val="24"/>
                <w:szCs w:val="24"/>
                <w:lang w:eastAsia="zh-CN"/>
              </w:rPr>
              <w:t>国际信托有限公司</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年期</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6"/>
              <w:numPr>
                <w:numId w:val="0"/>
              </w:numPr>
              <w:spacing w:line="360" w:lineRule="auto"/>
              <w:ind w:leftChars="0"/>
              <w:rPr>
                <w:rFonts w:ascii="宋体" w:hAnsi="宋体" w:eastAsia="宋体"/>
                <w:sz w:val="24"/>
                <w:szCs w:val="24"/>
              </w:rPr>
            </w:pPr>
            <w:r>
              <w:rPr>
                <w:rFonts w:hint="eastAsia" w:ascii="宋体" w:hAnsi="宋体" w:eastAsia="宋体"/>
                <w:sz w:val="24"/>
                <w:szCs w:val="24"/>
              </w:rPr>
              <w:t>用于向无锡市梁溪城市发展集团有限公司进行债权投资</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无锡市广益建发控股集团有限公司为本信托计划提供不可撤销连带责任保证</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numPr>
                <w:numId w:val="0"/>
              </w:numPr>
              <w:spacing w:line="360" w:lineRule="auto"/>
              <w:rPr>
                <w:rFonts w:hint="eastAsia" w:ascii="宋体" w:hAnsi="宋体" w:eastAsia="宋体"/>
                <w:sz w:val="24"/>
                <w:szCs w:val="24"/>
                <w:highlight w:val="yellow"/>
                <w:lang w:val="en-US" w:eastAsia="zh-CN"/>
              </w:rPr>
            </w:pPr>
            <w:r>
              <w:rPr>
                <w:rFonts w:hint="eastAsia" w:ascii="宋体" w:hAnsi="宋体" w:eastAsia="宋体"/>
                <w:sz w:val="24"/>
                <w:szCs w:val="24"/>
                <w:highlight w:val="none"/>
                <w:lang w:val="en-US" w:eastAsia="zh-CN"/>
              </w:rPr>
              <w:t>3.9%/年</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本期不超过10000</w:t>
            </w:r>
            <w:r>
              <w:rPr>
                <w:rFonts w:hint="eastAsia" w:ascii="宋体" w:hAnsi="宋体" w:eastAsia="宋体"/>
                <w:sz w:val="24"/>
                <w:szCs w:val="24"/>
              </w:rPr>
              <w:t>万元</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highlight w:val="none"/>
              </w:rPr>
            </w:pPr>
            <w:r>
              <w:rPr>
                <w:rFonts w:hint="eastAsia" w:ascii="宋体" w:hAnsi="宋体" w:eastAsia="宋体"/>
                <w:sz w:val="24"/>
                <w:szCs w:val="24"/>
                <w:highlight w:val="none"/>
              </w:rPr>
              <w:t>募集期：2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冷静期：</w:t>
            </w:r>
            <w:r>
              <w:rPr>
                <w:rFonts w:hint="eastAsia" w:ascii="宋体" w:hAnsi="宋体" w:eastAsia="宋体"/>
                <w:sz w:val="24"/>
                <w:szCs w:val="24"/>
                <w:highlight w:val="none"/>
                <w:lang w:val="en-US" w:eastAsia="zh-CN"/>
              </w:rPr>
              <w:t>24小时</w:t>
            </w:r>
            <w:r>
              <w:rPr>
                <w:rFonts w:hint="eastAsia" w:ascii="宋体" w:hAnsi="宋体" w:eastAsia="宋体"/>
                <w:sz w:val="24"/>
                <w:szCs w:val="24"/>
                <w:highlight w:val="none"/>
              </w:rPr>
              <w:t>；</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起息日：</w:t>
            </w:r>
            <w:r>
              <w:rPr>
                <w:rFonts w:hint="eastAsia" w:ascii="宋体" w:hAnsi="宋体" w:eastAsia="宋体"/>
                <w:sz w:val="24"/>
                <w:szCs w:val="24"/>
                <w:highlight w:val="none"/>
                <w:lang w:val="en-US" w:eastAsia="zh-CN"/>
              </w:rPr>
              <w:t>冷静期满后起息</w:t>
            </w:r>
            <w:r>
              <w:rPr>
                <w:rFonts w:hint="eastAsia" w:ascii="宋体" w:hAnsi="宋体" w:eastAsia="宋体"/>
                <w:sz w:val="24"/>
                <w:szCs w:val="24"/>
                <w:highlight w:val="none"/>
              </w:rPr>
              <w:t>；</w:t>
            </w:r>
          </w:p>
          <w:p>
            <w:pPr>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存续期</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1年</w:t>
            </w:r>
          </w:p>
          <w:p>
            <w:pPr>
              <w:spacing w:line="360" w:lineRule="auto"/>
              <w:rPr>
                <w:rFonts w:ascii="宋体" w:hAnsi="宋体" w:eastAsia="宋体"/>
                <w:sz w:val="24"/>
                <w:szCs w:val="24"/>
              </w:rPr>
            </w:pPr>
            <w:r>
              <w:rPr>
                <w:rFonts w:hint="eastAsia" w:ascii="宋体" w:hAnsi="宋体" w:eastAsia="宋体"/>
                <w:sz w:val="24"/>
                <w:szCs w:val="24"/>
              </w:rPr>
              <w:t>（根据发行情况调整，以</w:t>
            </w:r>
            <w:r>
              <w:rPr>
                <w:rFonts w:hint="eastAsia" w:ascii="宋体" w:hAnsi="宋体" w:eastAsia="宋体"/>
                <w:sz w:val="24"/>
                <w:szCs w:val="24"/>
                <w:lang w:eastAsia="zh-CN"/>
              </w:rPr>
              <w:t>产品成立</w:t>
            </w:r>
            <w:bookmarkStart w:id="0" w:name="_GoBack"/>
            <w:bookmarkEnd w:id="0"/>
            <w:r>
              <w:rPr>
                <w:rFonts w:hint="eastAsia" w:ascii="宋体" w:hAnsi="宋体" w:eastAsia="宋体"/>
                <w:sz w:val="24"/>
                <w:szCs w:val="24"/>
                <w:lang w:eastAsia="zh-CN"/>
              </w:rPr>
              <w:t>公告</w:t>
            </w:r>
            <w:r>
              <w:rPr>
                <w:rFonts w:hint="eastAsia" w:ascii="宋体" w:hAnsi="宋体" w:eastAsia="宋体"/>
                <w:sz w:val="24"/>
                <w:szCs w:val="24"/>
              </w:rPr>
              <w:t>为准</w:t>
            </w:r>
            <w:r>
              <w:rPr>
                <w:rFonts w:hint="eastAsia" w:ascii="宋体" w:hAnsi="宋体" w:eastAsia="宋体"/>
                <w:sz w:val="24"/>
                <w:szCs w:val="24"/>
                <w:lang w:eastAsia="zh-CN"/>
              </w:rPr>
              <w:t>，到期日遇节假日顺延</w:t>
            </w:r>
            <w:r>
              <w:rPr>
                <w:rFonts w:hint="eastAsia" w:ascii="宋体" w:hAnsi="宋体" w:eastAsia="宋体"/>
                <w:sz w:val="24"/>
                <w:szCs w:val="24"/>
              </w:rPr>
              <w:t>）</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lang w:val="en-US" w:eastAsia="zh-CN"/>
        </w:rPr>
        <w:t>厦门</w:t>
      </w:r>
      <w:r>
        <w:rPr>
          <w:rFonts w:hint="eastAsia" w:ascii="宋体" w:hAnsi="宋体" w:eastAsia="宋体"/>
          <w:lang w:eastAsia="zh-CN"/>
        </w:rPr>
        <w:t>国际信托有限公司</w:t>
      </w:r>
      <w:r>
        <w:rPr>
          <w:rFonts w:hint="eastAsia" w:ascii="宋体" w:hAnsi="宋体" w:eastAsia="宋体"/>
          <w:sz w:val="21"/>
          <w:szCs w:val="21"/>
        </w:rPr>
        <w:t>发</w:t>
      </w:r>
      <w:r>
        <w:rPr>
          <w:rFonts w:hint="eastAsia" w:ascii="宋体" w:hAnsi="宋体" w:eastAsia="宋体"/>
        </w:rPr>
        <w:t>行与管理，张家港农商行作为代销机构不承担产品的投资、兑付和风险管理责任</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等线" w:hAnsi="等线" w:eastAsia="等线" w:cs="黑体"/>
      <w:kern w:val="2"/>
      <w:sz w:val="21"/>
      <w:szCs w:val="22"/>
      <w:lang w:val="en-US" w:eastAsia="zh-CN" w:bidi="ar-SA"/>
    </w:rPr>
  </w:style>
  <w:style w:type="character" w:default="1" w:styleId="5">
    <w:name w:val="Default Paragraph Font"/>
  </w:style>
  <w:style w:type="paragraph" w:styleId="2">
    <w:name w:val="Body Text"/>
    <w:basedOn w:val="1"/>
    <w:pPr>
      <w:spacing w:before="1"/>
      <w:ind w:left="120"/>
    </w:pPr>
    <w:rPr>
      <w:sz w:val="24"/>
    </w:rPr>
  </w:style>
  <w:style w:type="paragraph" w:styleId="3">
    <w:name w:val="footer"/>
    <w:basedOn w:val="1"/>
    <w:link w:val="10"/>
    <w:pPr>
      <w:tabs>
        <w:tab w:val="center" w:pos="4153"/>
        <w:tab w:val="right" w:pos="8306"/>
      </w:tabs>
      <w:snapToGrid w:val="0"/>
      <w:jc w:val="left"/>
    </w:pPr>
    <w:rPr>
      <w:sz w:val="18"/>
      <w:szCs w:val="18"/>
    </w:rPr>
  </w:style>
  <w:style w:type="paragraph" w:styleId="4">
    <w:name w:val="header"/>
    <w:basedOn w:val="1"/>
    <w:link w:val="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pPr>
      <w:ind w:firstLine="420" w:firstLineChars="200"/>
    </w:pPr>
  </w:style>
  <w:style w:type="paragraph" w:customStyle="1" w:styleId="7">
    <w:name w:val="Normal (Web)"/>
    <w:basedOn w:val="1"/>
    <w:pPr>
      <w:spacing w:before="75" w:beforeAutospacing="0" w:after="75" w:afterAutospacing="0"/>
      <w:ind w:left="0" w:right="0"/>
      <w:jc w:val="left"/>
    </w:pPr>
    <w:rPr>
      <w:kern w:val="0"/>
      <w:sz w:val="24"/>
      <w:lang w:val="en-US" w:eastAsia="zh-CN"/>
    </w:rPr>
  </w:style>
  <w:style w:type="character" w:customStyle="1" w:styleId="8">
    <w:name w:val="page number"/>
    <w:rPr>
      <w:rFonts w:ascii="Times New Roman" w:hAnsi="Times New Roman" w:cs="Times New Roman"/>
      <w:szCs w:val="20"/>
    </w:rPr>
  </w:style>
  <w:style w:type="character" w:customStyle="1" w:styleId="9">
    <w:name w:val="页眉 字符"/>
    <w:basedOn w:val="5"/>
    <w:link w:val="4"/>
    <w:semiHidden/>
    <w:rPr>
      <w:sz w:val="18"/>
      <w:szCs w:val="18"/>
    </w:rPr>
  </w:style>
  <w:style w:type="character" w:customStyle="1" w:styleId="10">
    <w:name w:val="页脚 字符"/>
    <w:basedOn w:val="5"/>
    <w:link w:val="3"/>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2023-05-26T14:46:00Z</dcterms:created>
  <dc:creator>岳 Young Yue</dc:creator>
  <cp:lastPrinted>2024-07-10T01:17:00Z</cp:lastPrinted>
  <dcterms:modified xsi:type="dcterms:W3CDTF">2025-01-06T09:25:49Z</dcterms:modified>
  <dc:title>zrc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5B1A785338FD4EE4A2E24170AAE03BE6</vt:lpwstr>
  </property>
</Properties>
</file>