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800"/>
        <w:gridCol w:w="200"/>
        <w:gridCol w:w="1800"/>
        <w:gridCol w:w="400"/>
        <w:gridCol w:w="400"/>
        <w:gridCol w:w="400"/>
        <w:gridCol w:w="20"/>
        <w:gridCol w:w="980"/>
        <w:gridCol w:w="1600"/>
        <w:gridCol w:w="400"/>
        <w:gridCol w:w="200"/>
        <w:gridCol w:w="200"/>
        <w:gridCol w:w="220"/>
        <w:gridCol w:w="1380"/>
        <w:gridCol w:w="1700"/>
        <w:gridCol w:w="20"/>
        <w:gridCol w:w="780"/>
      </w:tblGrid>
      <w:tr>
        <w:tblPrEx>
          <w:tblCellMar>
            <w:top w:w="0" w:type="dxa"/>
            <w:left w:w="10" w:type="dxa"/>
            <w:bottom w:w="0" w:type="dxa"/>
            <w:right w:w="10" w:type="dxa"/>
          </w:tblCellMar>
        </w:tblPrEx>
        <w:trPr>
          <w:trHeight w:val="0" w:hRule="atLeast"/>
        </w:trPr>
        <w:tc>
          <w:p>
            <w:pPr>
              <w:pStyle w:val="4"/>
            </w:pPr>
            <w:bookmarkStart w:id="0" w:name="JR_PAGE_ANCHOR_0_1"/>
            <w:bookmarkEnd w:id="0"/>
          </w:p>
        </w:tc>
        <w:tc>
          <w:p>
            <w:pPr>
              <w:pStyle w:val="4"/>
            </w:pPr>
          </w:p>
        </w:tc>
        <w:tc>
          <w:tcPr>
            <w:gridSpan w:val="4"/>
          </w:tcPr>
          <w:p>
            <w:pPr>
              <w:pStyle w:val="4"/>
            </w:pPr>
          </w:p>
        </w:tc>
        <w:tc>
          <w:p>
            <w:pPr>
              <w:pStyle w:val="4"/>
            </w:pPr>
          </w:p>
        </w:tc>
        <w:tc>
          <w:tcPr>
            <w:gridSpan w:val="6"/>
          </w:tcPr>
          <w:p>
            <w:pPr>
              <w:pStyle w:val="4"/>
            </w:pPr>
          </w:p>
        </w:tc>
        <w:tc>
          <w:tcPr>
            <w:gridSpan w:val="3"/>
          </w:tcPr>
          <w:p>
            <w:pPr>
              <w:pStyle w:val="4"/>
            </w:pPr>
          </w:p>
        </w:tc>
        <w:tc>
          <w:tcPr>
            <w:gridSpan w:val="2"/>
          </w:tcPr>
          <w:p>
            <w:pPr>
              <w:pStyle w:val="4"/>
            </w:pPr>
          </w:p>
        </w:tc>
      </w:tr>
      <w:tr>
        <w:tblPrEx>
          <w:tblCellMar>
            <w:top w:w="0" w:type="dxa"/>
            <w:left w:w="10" w:type="dxa"/>
            <w:bottom w:w="0" w:type="dxa"/>
            <w:right w:w="10" w:type="dxa"/>
          </w:tblCellMar>
        </w:tblPrEx>
        <w:trPr>
          <w:trHeight w:val="1800" w:hRule="exact"/>
        </w:trPr>
        <w:tc>
          <w:p>
            <w:pPr>
              <w:pStyle w:val="4"/>
            </w:pPr>
          </w:p>
        </w:tc>
        <w:tc>
          <w:tcPr>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gridSpan w:val="2"/>
          </w:tcPr>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tcPr>
            <w:gridSpan w:val="4"/>
          </w:tcPr>
          <w:p>
            <w:pPr>
              <w:pStyle w:val="4"/>
            </w:pPr>
          </w:p>
        </w:tc>
        <w:tc>
          <w:p>
            <w:pPr>
              <w:pStyle w:val="4"/>
            </w:pPr>
          </w:p>
        </w:tc>
        <w:tc>
          <w:tcPr>
            <w:gridSpan w:val="6"/>
          </w:tcPr>
          <w:p>
            <w:pPr>
              <w:pStyle w:val="4"/>
            </w:pPr>
          </w:p>
        </w:tc>
        <w:tc>
          <w:tcPr>
            <w:gridSpan w:val="3"/>
          </w:tcPr>
          <w:p>
            <w:pPr>
              <w:pStyle w:val="4"/>
            </w:pP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发布时间：2024年12月31日</w:t>
            </w:r>
          </w:p>
        </w:tc>
        <w:tc>
          <w:tcPr>
            <w:gridSpan w:val="2"/>
          </w:tcPr>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tcPr>
            <w:gridSpan w:val="4"/>
          </w:tcPr>
          <w:p>
            <w:pPr>
              <w:pStyle w:val="4"/>
            </w:pPr>
          </w:p>
        </w:tc>
        <w:tc>
          <w:p>
            <w:pPr>
              <w:pStyle w:val="4"/>
            </w:pPr>
          </w:p>
        </w:tc>
        <w:tc>
          <w:tcPr>
            <w:gridSpan w:val="6"/>
          </w:tcPr>
          <w:p>
            <w:pPr>
              <w:pStyle w:val="4"/>
            </w:pPr>
          </w:p>
        </w:tc>
        <w:tc>
          <w:tcPr>
            <w:gridSpan w:val="3"/>
          </w:tcPr>
          <w:p>
            <w:pPr>
              <w:pStyle w:val="4"/>
            </w:pPr>
          </w:p>
        </w:tc>
        <w:tc>
          <w:tcPr>
            <w:gridSpan w:val="2"/>
          </w:tcPr>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本报告期自2024年01月01日起至12月31日止。</w:t>
            </w:r>
          </w:p>
        </w:tc>
        <w:tc>
          <w:tcPr>
            <w:gridSpan w:val="2"/>
          </w:tcPr>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tcPr>
            <w:gridSpan w:val="4"/>
          </w:tcPr>
          <w:p>
            <w:pPr>
              <w:pStyle w:val="4"/>
            </w:pPr>
          </w:p>
        </w:tc>
        <w:tc>
          <w:p>
            <w:pPr>
              <w:pStyle w:val="4"/>
            </w:pPr>
          </w:p>
        </w:tc>
        <w:tc>
          <w:tcPr>
            <w:gridSpan w:val="6"/>
          </w:tcPr>
          <w:p>
            <w:pPr>
              <w:pStyle w:val="4"/>
            </w:pPr>
          </w:p>
        </w:tc>
        <w:tc>
          <w:tcPr>
            <w:gridSpan w:val="3"/>
          </w:tcPr>
          <w:p>
            <w:pPr>
              <w:pStyle w:val="4"/>
            </w:pPr>
          </w:p>
        </w:tc>
        <w:tc>
          <w:tcPr>
            <w:gridSpan w:val="2"/>
          </w:tcPr>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gridSpan w:val="2"/>
          </w:tcPr>
          <w:p>
            <w:pPr>
              <w:pStyle w:val="4"/>
            </w:pPr>
          </w:p>
        </w:tc>
      </w:tr>
      <w:tr>
        <w:tblPrEx>
          <w:tblCellMar>
            <w:top w:w="0" w:type="dxa"/>
            <w:left w:w="10" w:type="dxa"/>
            <w:bottom w:w="0" w:type="dxa"/>
            <w:right w:w="10" w:type="dxa"/>
          </w:tblCellMar>
        </w:tblPrEx>
        <w:trPr>
          <w:trHeight w:val="8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3,427,222,000.00</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0.4315</w:t>
            </w:r>
          </w:p>
        </w:tc>
        <w:tc>
          <w:tcPr>
            <w:gridSpan w:val="2"/>
          </w:tcPr>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9823</w:t>
            </w:r>
            <w:r>
              <w:rPr>
                <w:rFonts w:ascii="原版宋体" w:hAnsi="原版宋体" w:eastAsia="原版宋体" w:cs="原版宋体"/>
                <w:color w:val="000000"/>
                <w:sz w:val="20"/>
              </w:rPr>
              <w:t>%</w:t>
            </w:r>
          </w:p>
        </w:tc>
        <w:tc>
          <w:tcPr>
            <w:gridSpan w:val="2"/>
          </w:tcPr>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tcPr>
            <w:gridSpan w:val="4"/>
          </w:tcPr>
          <w:p>
            <w:pPr>
              <w:pStyle w:val="4"/>
            </w:pPr>
          </w:p>
        </w:tc>
        <w:tc>
          <w:p>
            <w:pPr>
              <w:pStyle w:val="4"/>
            </w:pPr>
          </w:p>
        </w:tc>
        <w:tc>
          <w:tcPr>
            <w:gridSpan w:val="6"/>
          </w:tcPr>
          <w:p>
            <w:pPr>
              <w:pStyle w:val="4"/>
            </w:pPr>
          </w:p>
        </w:tc>
        <w:tc>
          <w:tcPr>
            <w:gridSpan w:val="3"/>
          </w:tcPr>
          <w:p>
            <w:pPr>
              <w:pStyle w:val="4"/>
            </w:pPr>
          </w:p>
        </w:tc>
        <w:tc>
          <w:tcPr>
            <w:gridSpan w:val="2"/>
          </w:tcPr>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gridSpan w:val="2"/>
          </w:tcPr>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gridSpan w:val="2"/>
          </w:tcPr>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gridSpan w:val="2"/>
          </w:tcPr>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3,470,440,952.22</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96.94%</w:t>
            </w:r>
          </w:p>
        </w:tc>
        <w:tc>
          <w:tcPr>
            <w:gridSpan w:val="2"/>
          </w:tcPr>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3,470,440,952.22</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96.94%</w:t>
            </w:r>
          </w:p>
        </w:tc>
        <w:tc>
          <w:tcPr>
            <w:gridSpan w:val="2"/>
          </w:tcPr>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902,292,433.28</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25.20%</w:t>
            </w:r>
          </w:p>
        </w:tc>
        <w:tc>
          <w:tcPr>
            <w:gridSpan w:val="2"/>
          </w:tcPr>
          <w:p>
            <w:pPr>
              <w:pStyle w:val="4"/>
            </w:pPr>
          </w:p>
        </w:tc>
      </w:tr>
      <w:tr>
        <w:tblPrEx>
          <w:tblCellMar>
            <w:top w:w="0" w:type="dxa"/>
            <w:left w:w="10" w:type="dxa"/>
            <w:bottom w:w="0" w:type="dxa"/>
            <w:right w:w="10" w:type="dxa"/>
          </w:tblCellMar>
        </w:tblPrEx>
        <w:trPr>
          <w:trHeight w:val="0" w:hRule="atLeast"/>
        </w:trPr>
        <w:tc>
          <w:p>
            <w:pPr>
              <w:pStyle w:val="4"/>
              <w:pageBreakBefore/>
            </w:pPr>
            <w:bookmarkStart w:id="1" w:name="JR_PAGE_ANCHOR_0_2"/>
            <w:bookmarkEnd w:id="1"/>
          </w:p>
        </w:tc>
        <w:tc>
          <w:p>
            <w:pPr>
              <w:pStyle w:val="4"/>
            </w:pPr>
          </w:p>
        </w:tc>
        <w:tc>
          <w:tcPr>
            <w:gridSpan w:val="2"/>
          </w:tcPr>
          <w:p>
            <w:pPr>
              <w:pStyle w:val="4"/>
            </w:pPr>
          </w:p>
        </w:tc>
        <w:tc>
          <w:tcPr>
            <w:gridSpan w:val="3"/>
          </w:tcPr>
          <w:p>
            <w:pPr>
              <w:pStyle w:val="4"/>
            </w:pPr>
          </w:p>
        </w:tc>
        <w:tc>
          <w:p>
            <w:pPr>
              <w:pStyle w:val="4"/>
            </w:pPr>
          </w:p>
        </w:tc>
        <w:tc>
          <w:p>
            <w:pPr>
              <w:pStyle w:val="4"/>
            </w:pPr>
          </w:p>
        </w:tc>
        <w:tc>
          <w:tcPr>
            <w:gridSpan w:val="2"/>
          </w:tcPr>
          <w:p>
            <w:pPr>
              <w:pStyle w:val="4"/>
            </w:pPr>
          </w:p>
        </w:tc>
        <w:tc>
          <w:tcPr>
            <w:gridSpan w:val="2"/>
          </w:tcPr>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109,575,431.34</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3.06%</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3,580,016,383.56</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tcPr>
            <w:gridSpan w:val="2"/>
          </w:tcPr>
          <w:p>
            <w:pPr>
              <w:pStyle w:val="4"/>
            </w:pPr>
          </w:p>
        </w:tc>
        <w:tc>
          <w:tcPr>
            <w:gridSpan w:val="3"/>
          </w:tcPr>
          <w:p>
            <w:pPr>
              <w:pStyle w:val="4"/>
            </w:pPr>
          </w:p>
        </w:tc>
        <w:tc>
          <w:p>
            <w:pPr>
              <w:pStyle w:val="4"/>
            </w:pPr>
          </w:p>
        </w:tc>
        <w:tc>
          <w:p>
            <w:pPr>
              <w:pStyle w:val="4"/>
            </w:pPr>
          </w:p>
        </w:tc>
        <w:tc>
          <w:tcPr>
            <w:gridSpan w:val="2"/>
          </w:tcPr>
          <w:p>
            <w:pPr>
              <w:pStyle w:val="4"/>
            </w:pPr>
          </w:p>
        </w:tc>
        <w:tc>
          <w:tcPr>
            <w:gridSpan w:val="2"/>
          </w:tcPr>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2,241,771,892.30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62.62%</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155,234,934.05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4.34%</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308,082,106.29</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8.61%</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18,294,520.35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0.51%</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2,568,148,518.94</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71.74%</w:t>
            </w:r>
          </w:p>
        </w:tc>
        <w:tc>
          <w:p>
            <w:pPr>
              <w:pStyle w:val="4"/>
            </w:pPr>
          </w:p>
        </w:tc>
      </w:tr>
      <w:tr>
        <w:tblPrEx>
          <w:tblCellMar>
            <w:top w:w="0" w:type="dxa"/>
            <w:left w:w="10" w:type="dxa"/>
            <w:bottom w:w="0" w:type="dxa"/>
            <w:right w:w="10" w:type="dxa"/>
          </w:tblCellMar>
        </w:tblPrEx>
        <w:trPr>
          <w:trHeight w:val="1180" w:hRule="exact"/>
        </w:trPr>
        <w:tc>
          <w:p>
            <w:pPr>
              <w:pStyle w:val="4"/>
            </w:pPr>
          </w:p>
        </w:tc>
        <w:tc>
          <w:p>
            <w:pPr>
              <w:pStyle w:val="4"/>
            </w:pPr>
          </w:p>
        </w:tc>
        <w:tc>
          <w:tcPr>
            <w:gridSpan w:val="2"/>
          </w:tcPr>
          <w:p>
            <w:pPr>
              <w:pStyle w:val="4"/>
            </w:pPr>
          </w:p>
        </w:tc>
        <w:tc>
          <w:tcPr>
            <w:gridSpan w:val="3"/>
          </w:tcPr>
          <w:p>
            <w:pPr>
              <w:pStyle w:val="4"/>
            </w:pPr>
          </w:p>
        </w:tc>
        <w:tc>
          <w:p>
            <w:pPr>
              <w:pStyle w:val="4"/>
            </w:pPr>
          </w:p>
        </w:tc>
        <w:tc>
          <w:p>
            <w:pPr>
              <w:pStyle w:val="4"/>
            </w:pPr>
          </w:p>
        </w:tc>
        <w:tc>
          <w:tcPr>
            <w:gridSpan w:val="2"/>
          </w:tcPr>
          <w:p>
            <w:pPr>
              <w:pStyle w:val="4"/>
            </w:pPr>
          </w:p>
        </w:tc>
        <w:tc>
          <w:tcPr>
            <w:gridSpan w:val="2"/>
          </w:tcPr>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1,029,800,000.00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902,292,433.28</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5.20</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112402174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24工商银行CD174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297,659,968.42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w:t>
            </w:r>
            <w:r>
              <w:rPr>
                <w:rFonts w:hint="eastAsia" w:ascii="原版宋体" w:hAnsi="原版宋体" w:eastAsia="原版宋体" w:cs="原版宋体"/>
                <w:color w:val="000000"/>
                <w:sz w:val="20"/>
                <w:lang w:val="en-US" w:eastAsia="zh-CN"/>
              </w:rPr>
              <w:t>31</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112411065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24平安银行CD065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199,788,953.02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w:t>
            </w:r>
            <w:r>
              <w:rPr>
                <w:rFonts w:hint="eastAsia" w:ascii="原版宋体" w:hAnsi="原版宋体" w:eastAsia="原版宋体" w:cs="原版宋体"/>
                <w:color w:val="000000"/>
                <w:sz w:val="20"/>
                <w:lang w:val="en-US" w:eastAsia="zh-CN"/>
              </w:rPr>
              <w:t>58</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112414226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24江苏银行CD226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196,904,270.20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w:t>
            </w:r>
            <w:r>
              <w:rPr>
                <w:rFonts w:hint="eastAsia" w:ascii="原版宋体" w:hAnsi="原版宋体" w:eastAsia="原版宋体" w:cs="原版宋体"/>
                <w:color w:val="000000"/>
                <w:sz w:val="20"/>
                <w:lang w:val="en-US" w:eastAsia="zh-CN"/>
              </w:rPr>
              <w:t>50</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180206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18国开06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114,775,086.91</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w:t>
            </w:r>
            <w:r>
              <w:rPr>
                <w:rFonts w:hint="eastAsia" w:ascii="原版宋体" w:hAnsi="原版宋体" w:eastAsia="原版宋体" w:cs="原版宋体"/>
                <w:color w:val="000000"/>
                <w:sz w:val="20"/>
                <w:lang w:val="en-US" w:eastAsia="zh-CN"/>
              </w:rPr>
              <w:t>21</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072410241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24兴业证券CP004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100,190,717.62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80</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112414257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24江苏银行CD257</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99,976,397.33</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79</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112410149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24兴业银行CD149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99,254,422.15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77</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112411130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24平安银行CD130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99,246,824.75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77</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112410325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24兴业银行CD325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99,246,824.75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w:t>
            </w:r>
            <w:r>
              <w:rPr>
                <w:rFonts w:hint="eastAsia" w:ascii="原版宋体" w:hAnsi="原版宋体" w:eastAsia="原版宋体" w:cs="原版宋体"/>
                <w:color w:val="000000"/>
                <w:sz w:val="20"/>
                <w:lang w:val="en-US" w:eastAsia="zh-CN"/>
              </w:rPr>
              <w:t>77</w:t>
            </w:r>
            <w:r>
              <w:rPr>
                <w:rFonts w:ascii="原版宋体" w:hAnsi="原版宋体" w:eastAsia="原版宋体" w:cs="原版宋体"/>
                <w:color w:val="000000"/>
                <w:sz w:val="20"/>
              </w:rPr>
              <w:t>%</w:t>
            </w:r>
          </w:p>
        </w:tc>
        <w:tc>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2" w:name="JR_PAGE_ANCHOR_0_3"/>
            <w:bookmarkEnd w:id="2"/>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264,810,365.39</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3,427,222,000.00</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7.73%</w:t>
            </w:r>
          </w:p>
        </w:tc>
        <w:tc>
          <w:p>
            <w:pPr>
              <w:pStyle w:val="4"/>
            </w:pPr>
          </w:p>
        </w:tc>
        <w:tc>
          <w:p>
            <w:pPr>
              <w:pStyle w:val="4"/>
            </w:pPr>
          </w:p>
        </w:tc>
      </w:tr>
      <w:tr>
        <w:tblPrEx>
          <w:tblCellMar>
            <w:top w:w="0" w:type="dxa"/>
            <w:left w:w="10" w:type="dxa"/>
            <w:bottom w:w="0" w:type="dxa"/>
            <w:right w:w="10" w:type="dxa"/>
          </w:tblCellMar>
        </w:tblPrEx>
        <w:trPr>
          <w:trHeight w:val="8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p>
            <w:pPr>
              <w:pStyle w:val="4"/>
            </w:pPr>
          </w:p>
        </w:tc>
        <w:tc>
          <w:p>
            <w:pPr>
              <w:pStyle w:val="4"/>
            </w:pPr>
          </w:p>
        </w:tc>
      </w:tr>
      <w:tr>
        <w:tblPrEx>
          <w:tblCellMar>
            <w:top w:w="0" w:type="dxa"/>
            <w:left w:w="10" w:type="dxa"/>
            <w:bottom w:w="0" w:type="dxa"/>
            <w:right w:w="10" w:type="dxa"/>
          </w:tblCellMar>
        </w:tblPrEx>
        <w:trPr>
          <w:trHeight w:val="10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55,860,000.00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45,340,000.00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0.73%</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0.66%</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22,318,000.00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0.65%</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0.64%</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0.61%</w:t>
            </w:r>
            <w:bookmarkStart w:id="3" w:name="_GoBack"/>
            <w:bookmarkEnd w:id="3"/>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0.60%</w:t>
            </w:r>
          </w:p>
        </w:tc>
        <w:tc>
          <w:p>
            <w:pPr>
              <w:pStyle w:val="4"/>
            </w:pPr>
          </w:p>
        </w:tc>
        <w:tc>
          <w:p>
            <w:pPr>
              <w:pStyle w:val="4"/>
            </w:pPr>
          </w:p>
        </w:tc>
      </w:tr>
      <w:tr>
        <w:tblPrEx>
          <w:tblCellMar>
            <w:top w:w="0" w:type="dxa"/>
            <w:left w:w="10" w:type="dxa"/>
            <w:bottom w:w="0" w:type="dxa"/>
            <w:right w:w="10" w:type="dxa"/>
          </w:tblCellMar>
        </w:tblPrEx>
        <w:trPr>
          <w:trHeight w:val="10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4"/>
          </w:tcPr>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2024年12月31日</w:t>
            </w:r>
          </w:p>
        </w:tc>
        <w:tc>
          <w:p>
            <w:pPr>
              <w:pStyle w:val="4"/>
            </w:pPr>
          </w:p>
        </w:tc>
        <w:tc>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splitPgBreakAndParaMark/>
    <w:compatSetting w:name="compatibilityMode" w:uri="http://schemas.microsoft.com/office/word" w:val="12"/>
  </w:compat>
  <w:rsids>
    <w:rsidRoot w:val="00000000"/>
    <w:rsid w:val="1A4A6780"/>
    <w:rsid w:val="201673B4"/>
    <w:rsid w:val="281954D5"/>
    <w:rsid w:val="28527EEC"/>
    <w:rsid w:val="3BAF5775"/>
    <w:rsid w:val="6D8A1A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2025-02-14T02:01:52Z</dcterms:created>
  <dc:creator>zrcbank</dc:creator>
  <cp:lastModifiedBy>zrcbank</cp:lastModifiedBy>
  <dcterms:modified xsi:type="dcterms:W3CDTF">2025-02-14T06:19:52Z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C8C32CC4106642F3B6152EBBCE451E95</vt:lpwstr>
  </property>
</Properties>
</file>