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tiff" ContentType="image/tif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
<Relationship Id="rId1" Type="http://schemas.openxmlformats.org/officeDocument/2006/relationships/officeDocument" Target="word/document.xml"/> 
<Relationship Id="rId2" Type="http://schemas.openxmlformats.org/officeDocument/2006/relationships/extended-properties" Target="docProps/app.xml"/>
<Relationship Id="rId3" Type="http://schemas.openxmlformats.org/package/2006/relationships/metadata/core-properties" Target="docProps/core.xml"/>
</Relationships> 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>
  <w:body>
    <w:tbl>
      <w:tblPr>
        <w:tblLayout w:type="fixed"/>
      </w:tblPr>
      <w:tblGrid>
        <w:gridCol w:w="1"/>
        <w:gridCol w:w="800"/>
        <w:gridCol w:w="2800"/>
        <w:gridCol w:w="400"/>
        <w:gridCol w:w="3400"/>
        <w:gridCol w:w="3300"/>
        <w:gridCol w:w="800"/>
      </w:tblGrid>
      <w:tr>
        <w:trPr>
          <w:trHeight w:hRule="exact" w:val="0"/>
        </w:trPr>
        <w:tc>
          <w:tcPr>
     </w:tcPr>
          <w:p>
            <w:pPr>
              <w:pStyle w:val="EMPTY_CELL_STYLE"/>
            </w:pPr>
            <w:bookmarkStart w:id="0" w:name="JR_PAGE_ANCHOR_0_1"/>
            <w:bookmarkEnd w:id="0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8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40"/>
                <w:b w:val="true"/>
              </w:rPr>
              <w:t xml:space="preserve">“金港湾瑞享9号”定期报告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产品管理人：江苏张家港农村商业银行股份有限公司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产品托管人：宁波银行股份有限公司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发布时间：2024年12月31日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1  重要提示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产品的过往业绩并不代表其未来表现。投资有风险，投资者在作出投资决策前应仔细阅读本产品说明书。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本报告中财务资料未经审计。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本报告期自2024年01月01日起至12月31日止。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2  产品概况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产品名称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金港湾瑞享9号净值型人民币理财产品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产品编码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RX09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全国银行业理财信息登记系统编码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C1115620000013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产品运作方式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开放式净值型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产品类型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固定收益类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募集方式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公募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报告期末产品份额总额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1,448,721,828.32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报告期末单位净值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1.1841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报告期末累计单位净值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1.1841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报告期末净值增长率（年化）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4.1907%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3  资产组合报告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3.1 报告期末产品资产组合情况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序号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项目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金额（元）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占资产组合比例（%）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固定收益投资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1,997,328,470.22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98.57%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其中:银行间/交易所产品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1,975,783,524.39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97.51%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  其中：回购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62,004,192.21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3.06%</w:t>
            </w: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00"/>
        <w:gridCol w:w="2000"/>
        <w:gridCol w:w="1200"/>
        <w:gridCol w:w="20"/>
        <w:gridCol w:w="980"/>
        <w:gridCol w:w="2000"/>
        <w:gridCol w:w="400"/>
        <w:gridCol w:w="220"/>
        <w:gridCol w:w="1380"/>
        <w:gridCol w:w="1700"/>
        <w:gridCol w:w="20"/>
        <w:gridCol w:w="780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1" w:name="JR_PAGE_ANCHOR_0_2"/>
            <w:bookmarkEnd w:id="1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非银行间/非交易所产品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21,544,945.83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1.06%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权益投资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15,506,569.33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0.77%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其中：基金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15,506,569.33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0.77%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银行存款合计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13,454,714.33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0.66%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其他资产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合计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2,026,289,753.88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100.00%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3.2 报告期末按债券品种分类的债券投资组合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序号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债券品种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金额（元）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占资产组合比例（%）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国家债券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74,030,132.47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3.65%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央行票据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金融债券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530,022,611.57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26.16%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其中：政策性金融债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289,837,034.12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14.30%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企业债券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1,268,874,833.62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62.62%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企业短期融资券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6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可转债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7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其他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8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合计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1,872,927,577.66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92.43%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1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3.3 报告期末按市值占产品资产净值比例大小排名前十的资产投资明细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序号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资产代码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资产名称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数量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市值(元)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占产品资产净值比例（％）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240203          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24国开03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110,000,000.00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115,858,736.45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6.75%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2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220202          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22国开02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102,383,908.22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5.97%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3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240006          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24附息国债06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60,000,000.00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63,564,680.55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3.71%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4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回购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68,000,000.00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62,004,192.21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3.61%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5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032280767       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22金开国控PPN001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60,000,000.00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60,299,704.25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3.52%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6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102380300       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23南浦口MTN003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52,743,220.49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3.07%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7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232480020       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24兴业银行二级资本债01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52,052,923.29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3.03%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8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2020016         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20江苏银行永续债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51,679,756.85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3.01%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00"/>
        <w:gridCol w:w="2000"/>
        <w:gridCol w:w="400"/>
        <w:gridCol w:w="1800"/>
        <w:gridCol w:w="1600"/>
        <w:gridCol w:w="400"/>
        <w:gridCol w:w="2000"/>
        <w:gridCol w:w="1700"/>
        <w:gridCol w:w="20"/>
        <w:gridCol w:w="780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2" w:name="JR_PAGE_ANCHOR_0_3"/>
            <w:bookmarkEnd w:id="2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9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2028042         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20兴业银行永续债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50,000,000.00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51,670,247.26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3.01%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10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102280728       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22嘉兴高新MTN001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50,000,000.00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51,512,095.21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3.00%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3.4 报告期末资产组合流动性风险分析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流动性资产市值（元）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产品资产净值（元）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流动性资产占比（%）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176,867,918.44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1,715,426,412.36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10.31%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200"/>
        </w:trPr>
        <w:tc>
          <w:tcPr>
     </w:tcPr>
          <w:p>
            <w:pPr>
              <w:pStyle w:val="EMPTY_CELL_STYLE"/>
            </w:pPr>
          </w:p>
        </w:tc>
        <w:tc>
          <w:tcPr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报告期内，产品管理人通过合理安排资产配置结构，保持一定比例的高流动性资产，控制资产久期、杠杆融资比例，管控产品流动性风险。持仓中利率债和中高等级信用债占比较高，对于关键时点的规模变动和资金面波动都有充足的准备，且融资渠道畅通多元，风险总体可控。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0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right"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江苏张家港农村商业银行股份有限公司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right"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2024年12月31日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sectPr>
      <w:pgSz w:w="13900" w:h="16840" w:orient="portrait" w:code="2537"/>
      <w:pgMar w:top="800" w:right="1200" w:bottom="440" w:left="1200" w:header="0" w:footer="0" w:gutter="0"/>
      <w:docGrid w:linePitch="360"/>
    </w:sectPr>
  </w:body>
</w:document>
</file>

<file path=word/settings.xml><?xml version="1.0" encoding="utf-8"?>
<w:settings xmlns:w="http://schemas.openxmlformats.org/wordprocessingml/2006/main">
  <w:defaultTabStop w:val="8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</w:rPrDefault>
    <w:pPrDefault>
      <w:pPr>
        <w:spacing w:line="240"/>
      </w:pPr>
    </w:pPrDefault>
  </w:docDefaults>
  <w:style w:type="paragraph" w:styleId="EMPTY_CELL_STYLE">
    <w:name w:val="EMPTY_CELL_STYLE"/>
    <w:qFormat/>
    <w:pPr>
      <w:ind/>
    </w:pPr>
    <w:rPr>
      <w:rFonts w:ascii="SansSerif" w:hAnsi="SansSerif" w:eastAsia="SansSerif" w:cs="SansSerif"/>
      <w:color w:val="000000"/>
      <w:sz w:val="1"/>
    </w:rPr>
  </w:style>
</w:styles>
</file>

<file path=word/_rels/document.xml.rels><?xml version="1.0" encoding="UTF-8"?>
<Relationships xmlns="http://schemas.openxmlformats.org/package/2006/relationships">
 <Relationship Id="rId1" Type="http://schemas.openxmlformats.org/officeDocument/2006/relationships/styles" Target="styles.xml"/>
 <Relationship Id="rId2" Type="http://schemas.openxmlformats.org/officeDocument/2006/relationships/settings" Target="settings.xml"/>
</Relationships>

</file>

<file path=docProps/app.xml><?xml version="1.0" encoding="utf-8"?>
<Properties xmlns="http://schemas.openxmlformats.org/officeDocument/2006/extended-properties">
  <Application>JasperReports Library version 6.4.3</Applicat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</coreProperties>
</file>