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11501" w:type="dxa"/>
        <w:tblInd w:w="0" w:type="dxa"/>
        <w:tblLayout w:type="fixed"/>
        <w:tblCellMar>
          <w:top w:w="0" w:type="dxa"/>
          <w:left w:w="10" w:type="dxa"/>
          <w:bottom w:w="0" w:type="dxa"/>
          <w:right w:w="10" w:type="dxa"/>
        </w:tblCellMar>
      </w:tblPr>
      <w:tblGrid>
        <w:gridCol w:w="1"/>
        <w:gridCol w:w="800"/>
        <w:gridCol w:w="200"/>
        <w:gridCol w:w="1800"/>
        <w:gridCol w:w="400"/>
        <w:gridCol w:w="400"/>
        <w:gridCol w:w="400"/>
        <w:gridCol w:w="20"/>
        <w:gridCol w:w="980"/>
        <w:gridCol w:w="1600"/>
        <w:gridCol w:w="400"/>
        <w:gridCol w:w="200"/>
        <w:gridCol w:w="200"/>
        <w:gridCol w:w="220"/>
        <w:gridCol w:w="1380"/>
        <w:gridCol w:w="1700"/>
        <w:gridCol w:w="20"/>
        <w:gridCol w:w="780"/>
      </w:tblGrid>
      <w:tr>
        <w:tblPrEx>
          <w:tblCellMar>
            <w:top w:w="0" w:type="dxa"/>
            <w:left w:w="10" w:type="dxa"/>
            <w:bottom w:w="0" w:type="dxa"/>
            <w:right w:w="10" w:type="dxa"/>
          </w:tblCellMar>
        </w:tblPrEx>
        <w:trPr>
          <w:trHeight w:val="0" w:hRule="atLeast"/>
        </w:trPr>
        <w:tc>
          <w:tcPr>
            <w:tcW w:w="1" w:type="dxa"/>
          </w:tcPr>
          <w:p>
            <w:pPr>
              <w:pStyle w:val="4"/>
            </w:pPr>
            <w:bookmarkStart w:id="0" w:name="JR_PAGE_ANCHOR_0_1"/>
            <w:bookmarkEnd w:id="0"/>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18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240" w:lineRule="auto"/>
              <w:jc w:val="center"/>
            </w:pPr>
            <w:r>
              <w:rPr>
                <w:rFonts w:ascii="原版宋体" w:hAnsi="原版宋体" w:eastAsia="原版宋体" w:cs="原版宋体"/>
                <w:b/>
                <w:color w:val="000000"/>
                <w:sz w:val="40"/>
              </w:rPr>
              <w:t>“金港湾天天享”定期报告</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产品管理人：江苏张家港农村商业银行股份有限公司</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产品托管人：宁波银行股份有限公司</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发布时间：2023年12月31日</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b/>
                <w:color w:val="000000"/>
                <w:sz w:val="20"/>
              </w:rPr>
              <w:t>1  重要提示</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产品的过往业绩并不代表其未来表现。投资有风险，投资者在作出投资决策前应仔细阅读本产品说明书。</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本报告中财务资料未经审计。</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r>
              <w:rPr>
                <w:rFonts w:ascii="原版宋体" w:hAnsi="原版宋体" w:eastAsia="原版宋体" w:cs="原版宋体"/>
                <w:color w:val="000000"/>
                <w:sz w:val="20"/>
              </w:rPr>
              <w:t xml:space="preserve">    本报告期自2023年01月01日起至12月31日止。</w:t>
            </w:r>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2  产品概况</w:t>
            </w:r>
          </w:p>
        </w:tc>
        <w:tc>
          <w:tcPr>
            <w:tcW w:w="800" w:type="dxa"/>
            <w:gridSpan w:val="2"/>
          </w:tcPr>
          <w:p>
            <w:pPr>
              <w:pStyle w:val="4"/>
            </w:pPr>
          </w:p>
        </w:tc>
      </w:tr>
      <w:tr>
        <w:tblPrEx>
          <w:tblCellMar>
            <w:top w:w="0" w:type="dxa"/>
            <w:left w:w="10" w:type="dxa"/>
            <w:bottom w:w="0" w:type="dxa"/>
            <w:right w:w="10" w:type="dxa"/>
          </w:tblCellMar>
        </w:tblPrEx>
        <w:trPr>
          <w:trHeight w:val="8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产品名称</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金港湾天天享净值型人民币理财产品</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TTX001</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全国银行业理财信息登记系统编码</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C1115619000093</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产品运作方式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开放式净值型</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产品类型</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固定收益类</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募集方式</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公募</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报告期末产品份额总额</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3,102,196,000.00</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报告期末单位净值</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1.0000</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报告期末每万份收益</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0.78183857</w:t>
            </w:r>
          </w:p>
        </w:tc>
        <w:tc>
          <w:tcPr>
            <w:tcW w:w="800" w:type="dxa"/>
            <w:gridSpan w:val="2"/>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6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报告期末净值增长率（年化）</w:t>
            </w:r>
          </w:p>
        </w:tc>
        <w:tc>
          <w:tcPr>
            <w:tcW w:w="7100" w:type="dxa"/>
            <w:gridSpan w:val="10"/>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ascii="原版宋体" w:hAnsi="原版宋体" w:eastAsia="原版宋体" w:cs="原版宋体"/>
                <w:color w:val="000000"/>
                <w:sz w:val="20"/>
                <w:lang w:val="en-US" w:eastAsia="zh-CN"/>
              </w:rPr>
              <w:t>2.0975</w:t>
            </w:r>
            <w:r>
              <w:rPr>
                <w:rFonts w:ascii="原版宋体" w:hAnsi="原版宋体" w:eastAsia="原版宋体" w:cs="原版宋体"/>
                <w:color w:val="000000"/>
                <w:sz w:val="20"/>
              </w:rPr>
              <w:t>%</w:t>
            </w:r>
            <w:bookmarkStart w:id="3" w:name="_GoBack"/>
            <w:bookmarkEnd w:id="3"/>
          </w:p>
        </w:tc>
        <w:tc>
          <w:tcPr>
            <w:tcW w:w="800" w:type="dxa"/>
            <w:gridSpan w:val="2"/>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800" w:type="dxa"/>
            <w:gridSpan w:val="4"/>
          </w:tcPr>
          <w:p>
            <w:pPr>
              <w:pStyle w:val="4"/>
            </w:pPr>
          </w:p>
        </w:tc>
        <w:tc>
          <w:tcPr>
            <w:tcW w:w="400" w:type="dxa"/>
          </w:tcPr>
          <w:p>
            <w:pPr>
              <w:pStyle w:val="4"/>
            </w:pPr>
          </w:p>
        </w:tc>
        <w:tc>
          <w:tcPr>
            <w:tcW w:w="3400" w:type="dxa"/>
            <w:gridSpan w:val="6"/>
          </w:tcPr>
          <w:p>
            <w:pPr>
              <w:pStyle w:val="4"/>
            </w:pPr>
          </w:p>
        </w:tc>
        <w:tc>
          <w:tcPr>
            <w:tcW w:w="3300" w:type="dxa"/>
            <w:gridSpan w:val="3"/>
          </w:tcPr>
          <w:p>
            <w:pPr>
              <w:pStyle w:val="4"/>
            </w:pPr>
          </w:p>
        </w:tc>
        <w:tc>
          <w:tcPr>
            <w:tcW w:w="800" w:type="dxa"/>
            <w:gridSpan w:val="2"/>
          </w:tcPr>
          <w:p>
            <w:pPr>
              <w:pStyle w:val="4"/>
            </w:pPr>
          </w:p>
        </w:tc>
      </w:tr>
      <w:tr>
        <w:tblPrEx>
          <w:tblCellMar>
            <w:top w:w="0" w:type="dxa"/>
            <w:left w:w="10" w:type="dxa"/>
            <w:bottom w:w="0" w:type="dxa"/>
            <w:right w:w="10" w:type="dxa"/>
          </w:tblCellMar>
        </w:tblPrEx>
        <w:trPr>
          <w:trHeight w:val="5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b/>
                <w:color w:val="000000"/>
                <w:sz w:val="20"/>
              </w:rPr>
              <w:t>3  资产组合报告</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3.1 报告期末产品资产组合情况</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项目</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固定收益投资</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3,645,740,781.25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98.55%</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其中:银行间/交易所产品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3,645,740,781.25</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98.55%</w:t>
            </w:r>
          </w:p>
        </w:tc>
        <w:tc>
          <w:tcPr>
            <w:tcW w:w="800" w:type="dxa"/>
            <w:gridSpan w:val="2"/>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其中：回购</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1,062,665,444.00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28.72%</w:t>
            </w:r>
          </w:p>
        </w:tc>
        <w:tc>
          <w:tcPr>
            <w:tcW w:w="800" w:type="dxa"/>
            <w:gridSpan w:val="2"/>
          </w:tcPr>
          <w:p>
            <w:pPr>
              <w:pStyle w:val="4"/>
            </w:pPr>
          </w:p>
        </w:tc>
      </w:tr>
      <w:tr>
        <w:tblPrEx>
          <w:tblCellMar>
            <w:top w:w="0" w:type="dxa"/>
            <w:left w:w="10" w:type="dxa"/>
            <w:bottom w:w="0" w:type="dxa"/>
            <w:right w:w="10" w:type="dxa"/>
          </w:tblCellMar>
        </w:tblPrEx>
        <w:trPr>
          <w:trHeight w:val="0" w:hRule="atLeast"/>
        </w:trPr>
        <w:tc>
          <w:tcPr>
            <w:tcW w:w="1" w:type="dxa"/>
          </w:tcPr>
          <w:p>
            <w:pPr>
              <w:pStyle w:val="4"/>
              <w:pageBreakBefore/>
            </w:pPr>
            <w:bookmarkStart w:id="1" w:name="JR_PAGE_ANCHOR_0_2"/>
            <w:bookmarkEnd w:id="1"/>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gridSpan w:val="2"/>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非银行间/非交易所产品</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银行存款合计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53,767,143.17</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1.45%</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其他资产</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4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3,699,507,924.42</w:t>
            </w:r>
          </w:p>
        </w:tc>
        <w:tc>
          <w:tcPr>
            <w:tcW w:w="33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100.00%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700" w:hRule="exact"/>
        </w:trPr>
        <w:tc>
          <w:tcPr>
            <w:tcW w:w="1" w:type="dxa"/>
          </w:tcPr>
          <w:p>
            <w:pPr>
              <w:pStyle w:val="4"/>
            </w:pPr>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gridSpan w:val="2"/>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3.2 报告期末按债券品种分类的债券投资组合</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债券品种</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金额（元）</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占资产组合比例（%）</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1</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国家债券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201,037,770.27</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5.43%</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央行票据</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3</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金融债券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1,628,148,362.06</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44.01%</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其中：政策性金融债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183,527,226.48</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4.96%</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4</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企业债券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753,889,204.92</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20.38%</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5</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企业短期融资券</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6</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可转债</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7</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其他</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0.00%</w:t>
            </w: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8</w:t>
            </w:r>
          </w:p>
        </w:tc>
        <w:tc>
          <w:tcPr>
            <w:tcW w:w="322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合计</w:t>
            </w:r>
          </w:p>
        </w:tc>
        <w:tc>
          <w:tcPr>
            <w:tcW w:w="36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2,583,075,337.25</w:t>
            </w:r>
          </w:p>
        </w:tc>
        <w:tc>
          <w:tcPr>
            <w:tcW w:w="3100" w:type="dxa"/>
            <w:gridSpan w:val="3"/>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69.82%</w:t>
            </w:r>
          </w:p>
        </w:tc>
        <w:tc>
          <w:tcPr>
            <w:tcW w:w="780" w:type="dxa"/>
          </w:tcPr>
          <w:p>
            <w:pPr>
              <w:pStyle w:val="4"/>
            </w:pPr>
          </w:p>
        </w:tc>
      </w:tr>
      <w:tr>
        <w:tblPrEx>
          <w:tblCellMar>
            <w:top w:w="0" w:type="dxa"/>
            <w:left w:w="10" w:type="dxa"/>
            <w:bottom w:w="0" w:type="dxa"/>
            <w:right w:w="10" w:type="dxa"/>
          </w:tblCellMar>
        </w:tblPrEx>
        <w:trPr>
          <w:trHeight w:val="1180" w:hRule="exact"/>
        </w:trPr>
        <w:tc>
          <w:tcPr>
            <w:tcW w:w="1" w:type="dxa"/>
          </w:tcPr>
          <w:p>
            <w:pPr>
              <w:pStyle w:val="4"/>
            </w:pPr>
          </w:p>
        </w:tc>
        <w:tc>
          <w:tcPr>
            <w:tcW w:w="800" w:type="dxa"/>
          </w:tcPr>
          <w:p>
            <w:pPr>
              <w:pStyle w:val="4"/>
            </w:pPr>
          </w:p>
        </w:tc>
        <w:tc>
          <w:tcPr>
            <w:tcW w:w="2000" w:type="dxa"/>
            <w:gridSpan w:val="2"/>
          </w:tcPr>
          <w:p>
            <w:pPr>
              <w:pStyle w:val="4"/>
            </w:pPr>
          </w:p>
        </w:tc>
        <w:tc>
          <w:tcPr>
            <w:tcW w:w="1200" w:type="dxa"/>
            <w:gridSpan w:val="3"/>
          </w:tcPr>
          <w:p>
            <w:pPr>
              <w:pStyle w:val="4"/>
            </w:pPr>
          </w:p>
        </w:tc>
        <w:tc>
          <w:tcPr>
            <w:tcW w:w="20" w:type="dxa"/>
          </w:tcPr>
          <w:p>
            <w:pPr>
              <w:pStyle w:val="4"/>
            </w:pPr>
          </w:p>
        </w:tc>
        <w:tc>
          <w:tcPr>
            <w:tcW w:w="980" w:type="dxa"/>
          </w:tcPr>
          <w:p>
            <w:pPr>
              <w:pStyle w:val="4"/>
            </w:pPr>
          </w:p>
        </w:tc>
        <w:tc>
          <w:tcPr>
            <w:tcW w:w="2000" w:type="dxa"/>
            <w:gridSpan w:val="2"/>
          </w:tcPr>
          <w:p>
            <w:pPr>
              <w:pStyle w:val="4"/>
            </w:pPr>
          </w:p>
        </w:tc>
        <w:tc>
          <w:tcPr>
            <w:tcW w:w="400" w:type="dxa"/>
            <w:gridSpan w:val="2"/>
          </w:tcPr>
          <w:p>
            <w:pPr>
              <w:pStyle w:val="4"/>
            </w:pPr>
          </w:p>
        </w:tc>
        <w:tc>
          <w:tcPr>
            <w:tcW w:w="220" w:type="dxa"/>
          </w:tcPr>
          <w:p>
            <w:pPr>
              <w:pStyle w:val="4"/>
            </w:pPr>
          </w:p>
        </w:tc>
        <w:tc>
          <w:tcPr>
            <w:tcW w:w="1380" w:type="dxa"/>
          </w:tcPr>
          <w:p>
            <w:pPr>
              <w:pStyle w:val="4"/>
            </w:pPr>
          </w:p>
        </w:tc>
        <w:tc>
          <w:tcPr>
            <w:tcW w:w="1700" w:type="dxa"/>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2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3.3 报告期末按市值占产品资产净值比例大小排名前十的资产投资明细</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序号</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资产代码</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资产名称</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数量</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市值(元)</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b/>
                <w:color w:val="000000"/>
                <w:sz w:val="20"/>
              </w:rPr>
              <w:t>占产品资产净值比例（％）</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回购</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eastAsia="原版宋体"/>
                <w:lang w:val="en-US" w:eastAsia="zh-CN"/>
              </w:rPr>
            </w:pPr>
            <w:r>
              <w:rPr>
                <w:rFonts w:hint="default" w:ascii="原版宋体" w:hAnsi="原版宋体" w:eastAsia="原版宋体" w:cs="原版宋体"/>
                <w:color w:val="000000"/>
                <w:sz w:val="20"/>
                <w:lang w:val="en-US"/>
              </w:rPr>
              <w:t>1,181,724,229.82</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rPr>
                <w:rFonts w:hint="default" w:eastAsia="原版宋体"/>
                <w:lang w:val="en-US" w:eastAsia="zh-CN"/>
              </w:rPr>
            </w:pPr>
            <w:r>
              <w:rPr>
                <w:rFonts w:hint="default" w:ascii="原版宋体" w:hAnsi="原版宋体" w:eastAsia="原版宋体" w:cs="原版宋体"/>
                <w:color w:val="000000"/>
                <w:sz w:val="20"/>
                <w:lang w:val="en-US"/>
              </w:rPr>
              <w:t>1,062,665,444.00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34.26%</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112310357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23兴业银行CD357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300,000,000.00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292,521,467.92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9.43%</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112304049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23中国银行CD049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199,684,250.50</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112305287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23建设银行CD287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200,000,000.00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199,561,084.93</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6.43%</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188047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21华泰G3</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174,532,216.94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5.63%</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102100508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21鄂交投MTN001</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123,836,005.07</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3.99%</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137666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22华泰G2</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121,004,301.16</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3.90%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230206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23国开06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101,333,154.54</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3.27%</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230016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23附息国债16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100,640,014.75</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800" w:type="dxa"/>
            <w:tcBorders>
              <w:top w:val="single" w:color="000000" w:sz="8" w:space="0"/>
              <w:left w:val="single" w:color="000000" w:sz="8" w:space="0"/>
              <w:bottom w:val="single" w:color="000000" w:sz="8" w:space="0"/>
              <w:right w:val="single" w:color="000000" w:sz="8" w:space="0"/>
            </w:tcBorders>
            <w:tcMar>
              <w:top w:w="0" w:type="dxa"/>
              <w:left w:w="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019709        </w:t>
            </w:r>
          </w:p>
        </w:tc>
        <w:tc>
          <w:tcPr>
            <w:tcW w:w="2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23国债16</w:t>
            </w:r>
          </w:p>
        </w:tc>
        <w:tc>
          <w:tcPr>
            <w:tcW w:w="2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100,000,000.00</w:t>
            </w:r>
          </w:p>
        </w:tc>
        <w:tc>
          <w:tcPr>
            <w:tcW w:w="2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40"/>
              <w:jc w:val="right"/>
            </w:pPr>
            <w:r>
              <w:rPr>
                <w:rFonts w:ascii="原版宋体" w:hAnsi="原版宋体" w:eastAsia="原版宋体" w:cs="原版宋体"/>
                <w:color w:val="000000"/>
                <w:sz w:val="20"/>
              </w:rPr>
              <w:t>100,397,755.52</w:t>
            </w:r>
          </w:p>
        </w:tc>
        <w:tc>
          <w:tcPr>
            <w:tcW w:w="1700" w:type="dxa"/>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ind w:right="160"/>
              <w:jc w:val="right"/>
            </w:pPr>
            <w:r>
              <w:rPr>
                <w:rFonts w:ascii="原版宋体" w:hAnsi="原版宋体" w:eastAsia="原版宋体" w:cs="原版宋体"/>
                <w:color w:val="000000"/>
                <w:sz w:val="20"/>
              </w:rPr>
              <w:t>3.24%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0" w:hRule="atLeast"/>
        </w:trPr>
        <w:tc>
          <w:tcPr>
            <w:tcW w:w="1" w:type="dxa"/>
          </w:tcPr>
          <w:p>
            <w:pPr>
              <w:pStyle w:val="4"/>
              <w:pageBreakBefore/>
            </w:pPr>
            <w:bookmarkStart w:id="2" w:name="JR_PAGE_ANCHOR_0_3"/>
            <w:bookmarkEnd w:id="2"/>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3.4 报告期末资产组合流动性风险分析</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流动性资产市值（元）</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产品资产净值（元）</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b/>
                <w:color w:val="000000"/>
                <w:sz w:val="20"/>
              </w:rPr>
              <w:t>流动性资产占比（%）</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32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438,332,139.92</w:t>
            </w:r>
          </w:p>
        </w:tc>
        <w:tc>
          <w:tcPr>
            <w:tcW w:w="34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3,102,196,000.00</w:t>
            </w:r>
          </w:p>
        </w:tc>
        <w:tc>
          <w:tcPr>
            <w:tcW w:w="4100" w:type="dxa"/>
            <w:gridSpan w:val="6"/>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center"/>
            </w:pPr>
            <w:r>
              <w:rPr>
                <w:rFonts w:ascii="原版宋体" w:hAnsi="原版宋体" w:eastAsia="原版宋体" w:cs="原版宋体"/>
                <w:color w:val="000000"/>
                <w:sz w:val="20"/>
              </w:rPr>
              <w:t>14.13%</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82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1200" w:hRule="exact"/>
        </w:trPr>
        <w:tc>
          <w:tcPr>
            <w:tcW w:w="1" w:type="dxa"/>
          </w:tcPr>
          <w:p>
            <w:pPr>
              <w:pStyle w:val="4"/>
            </w:pPr>
          </w:p>
        </w:tc>
        <w:tc>
          <w:tcPr>
            <w:tcW w:w="10700" w:type="dxa"/>
            <w:gridSpan w:val="15"/>
            <w:tcMar>
              <w:top w:w="0" w:type="dxa"/>
              <w:left w:w="0" w:type="dxa"/>
              <w:bottom w:w="0" w:type="dxa"/>
              <w:right w:w="0" w:type="dxa"/>
            </w:tcMar>
            <w:vAlign w:val="center"/>
          </w:tcPr>
          <w:p>
            <w:pPr>
              <w:spacing w:before="0" w:after="0" w:line="360" w:lineRule="auto"/>
            </w:pPr>
            <w:r>
              <w:rPr>
                <w:rFonts w:ascii="原版宋体" w:hAnsi="原版宋体" w:eastAsia="原版宋体" w:cs="原版宋体"/>
                <w:color w:val="000000"/>
                <w:sz w:val="20"/>
              </w:rPr>
              <w:t xml:space="preserve">    报告期内，产品管理人通过合理安排资产配置结构，保持一定比例的高流动性资产，控制资产久期、杠杆融资比例，管控产品流动性风险。持仓中利率债和中高等级信用债占比较高，对于关键时点的规模变动和资金面波动都有充足的准备，且融资渠道畅通多元，风险总体可控。</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108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4  理财份额投资人信息</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4.1 报告期末现金管理类产品前十大份额投资人情况</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序号</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投资者类别</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持有份额（份）</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占总份额占比（%）</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82,190,000.00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2.65%</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2</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68,000,000.00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2.19%</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3</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个人</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32,860,000.00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1.06%</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4</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30,000,000.00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0.97%</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5</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23,000,000.00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0.74%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6</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21,580,000.00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0.70%</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7</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21,500,000.00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0.69%</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8</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20,000,000.00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9</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20,000,000.00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00" w:type="dxa"/>
            <w:gridSpan w:val="2"/>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10</w:t>
            </w:r>
          </w:p>
        </w:tc>
        <w:tc>
          <w:tcPr>
            <w:tcW w:w="30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机构</w:t>
            </w:r>
          </w:p>
        </w:tc>
        <w:tc>
          <w:tcPr>
            <w:tcW w:w="3200" w:type="dxa"/>
            <w:gridSpan w:val="5"/>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20,000,000.00</w:t>
            </w:r>
          </w:p>
        </w:tc>
        <w:tc>
          <w:tcPr>
            <w:tcW w:w="3500" w:type="dxa"/>
            <w:gridSpan w:val="4"/>
            <w:tcBorders>
              <w:top w:val="single" w:color="000000" w:sz="8" w:space="0"/>
              <w:left w:val="single" w:color="000000" w:sz="8" w:space="0"/>
              <w:bottom w:val="single" w:color="000000" w:sz="8" w:space="0"/>
              <w:right w:val="single" w:color="000000" w:sz="8" w:space="0"/>
            </w:tcBorders>
            <w:tcMar>
              <w:top w:w="0" w:type="dxa"/>
              <w:left w:w="80" w:type="dxa"/>
              <w:bottom w:w="0" w:type="dxa"/>
              <w:right w:w="0" w:type="dxa"/>
            </w:tcMar>
            <w:vAlign w:val="center"/>
          </w:tcPr>
          <w:p>
            <w:pPr>
              <w:jc w:val="left"/>
            </w:pPr>
            <w:r>
              <w:rPr>
                <w:rFonts w:hint="eastAsia"/>
              </w:rPr>
              <w:t>0.64%</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10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b/>
                <w:color w:val="000000"/>
                <w:sz w:val="20"/>
              </w:rPr>
              <w:t>5  影响理财份额投资人决策的其他重要信息</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2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5.1 报告期内单一投资者持有产品份额达到或者超过该产品总份额20%的情形</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2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80" w:type="dxa"/>
              <w:bottom w:w="0" w:type="dxa"/>
              <w:right w:w="0" w:type="dxa"/>
            </w:tcMar>
            <w:vAlign w:val="center"/>
          </w:tcPr>
          <w:p>
            <w:pPr>
              <w:jc w:val="left"/>
            </w:pPr>
            <w:r>
              <w:rPr>
                <w:rFonts w:ascii="原版宋体" w:hAnsi="原版宋体" w:eastAsia="原版宋体" w:cs="原版宋体"/>
                <w:color w:val="000000"/>
                <w:sz w:val="20"/>
              </w:rPr>
              <w:t xml:space="preserve">    本产品本报告期无单一投资者持有产品份额达到或者超过该产品总份额20%的情形。</w:t>
            </w: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600" w:hRule="exact"/>
        </w:trPr>
        <w:tc>
          <w:tcPr>
            <w:tcW w:w="1" w:type="dxa"/>
          </w:tcPr>
          <w:p>
            <w:pPr>
              <w:pStyle w:val="4"/>
            </w:pPr>
          </w:p>
        </w:tc>
        <w:tc>
          <w:tcPr>
            <w:tcW w:w="1000" w:type="dxa"/>
            <w:gridSpan w:val="2"/>
          </w:tcPr>
          <w:p>
            <w:pPr>
              <w:pStyle w:val="4"/>
            </w:pPr>
          </w:p>
        </w:tc>
        <w:tc>
          <w:tcPr>
            <w:tcW w:w="2200" w:type="dxa"/>
            <w:gridSpan w:val="2"/>
          </w:tcPr>
          <w:p>
            <w:pPr>
              <w:pStyle w:val="4"/>
            </w:pPr>
          </w:p>
        </w:tc>
        <w:tc>
          <w:tcPr>
            <w:tcW w:w="800" w:type="dxa"/>
            <w:gridSpan w:val="2"/>
          </w:tcPr>
          <w:p>
            <w:pPr>
              <w:pStyle w:val="4"/>
            </w:pPr>
          </w:p>
        </w:tc>
        <w:tc>
          <w:tcPr>
            <w:tcW w:w="2600" w:type="dxa"/>
            <w:gridSpan w:val="3"/>
          </w:tcPr>
          <w:p>
            <w:pPr>
              <w:pStyle w:val="4"/>
            </w:pPr>
          </w:p>
        </w:tc>
        <w:tc>
          <w:tcPr>
            <w:tcW w:w="600" w:type="dxa"/>
            <w:gridSpan w:val="2"/>
          </w:tcPr>
          <w:p>
            <w:pPr>
              <w:pStyle w:val="4"/>
            </w:pPr>
          </w:p>
        </w:tc>
        <w:tc>
          <w:tcPr>
            <w:tcW w:w="3500" w:type="dxa"/>
            <w:gridSpan w:val="4"/>
          </w:tcPr>
          <w:p>
            <w:pPr>
              <w:pStyle w:val="4"/>
            </w:pPr>
          </w:p>
        </w:tc>
        <w:tc>
          <w:tcPr>
            <w:tcW w:w="20" w:type="dxa"/>
          </w:tcPr>
          <w:p>
            <w:pPr>
              <w:pStyle w:val="4"/>
            </w:pP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20" w:type="dxa"/>
            <w:gridSpan w:val="16"/>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江苏张家港农村商业银行股份有限公司</w:t>
            </w:r>
          </w:p>
        </w:tc>
        <w:tc>
          <w:tcPr>
            <w:tcW w:w="780" w:type="dxa"/>
          </w:tcPr>
          <w:p>
            <w:pPr>
              <w:pStyle w:val="4"/>
            </w:pPr>
          </w:p>
        </w:tc>
      </w:tr>
      <w:tr>
        <w:tblPrEx>
          <w:tblCellMar>
            <w:top w:w="0" w:type="dxa"/>
            <w:left w:w="10" w:type="dxa"/>
            <w:bottom w:w="0" w:type="dxa"/>
            <w:right w:w="10" w:type="dxa"/>
          </w:tblCellMar>
        </w:tblPrEx>
        <w:trPr>
          <w:trHeight w:val="400" w:hRule="exact"/>
        </w:trPr>
        <w:tc>
          <w:tcPr>
            <w:tcW w:w="1" w:type="dxa"/>
          </w:tcPr>
          <w:p>
            <w:pPr>
              <w:pStyle w:val="4"/>
            </w:pPr>
          </w:p>
        </w:tc>
        <w:tc>
          <w:tcPr>
            <w:tcW w:w="10700" w:type="dxa"/>
            <w:gridSpan w:val="15"/>
            <w:tcMar>
              <w:top w:w="0" w:type="dxa"/>
              <w:left w:w="0" w:type="dxa"/>
              <w:bottom w:w="0" w:type="dxa"/>
              <w:right w:w="0" w:type="dxa"/>
            </w:tcMar>
            <w:vAlign w:val="top"/>
          </w:tcPr>
          <w:p>
            <w:pPr>
              <w:spacing w:before="0" w:after="0" w:line="360" w:lineRule="auto"/>
              <w:jc w:val="right"/>
            </w:pPr>
            <w:r>
              <w:rPr>
                <w:rFonts w:ascii="原版宋体" w:hAnsi="原版宋体" w:eastAsia="原版宋体" w:cs="原版宋体"/>
                <w:color w:val="000000"/>
                <w:sz w:val="20"/>
              </w:rPr>
              <w:t>2023年12月31日</w:t>
            </w:r>
          </w:p>
        </w:tc>
        <w:tc>
          <w:tcPr>
            <w:tcW w:w="20" w:type="dxa"/>
          </w:tcPr>
          <w:p>
            <w:pPr>
              <w:pStyle w:val="4"/>
            </w:pPr>
          </w:p>
        </w:tc>
        <w:tc>
          <w:tcPr>
            <w:tcW w:w="780" w:type="dxa"/>
          </w:tcPr>
          <w:p>
            <w:pPr>
              <w:pStyle w:val="4"/>
            </w:pPr>
          </w:p>
        </w:tc>
      </w:tr>
    </w:tbl>
    <w:p/>
    <w:sectPr>
      <w:pgSz w:w="13900" w:h="16840"/>
      <w:pgMar w:top="800" w:right="1200" w:bottom="440" w:left="120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原版宋体">
    <w:altName w:val="宋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trackRevisions w:val="1"/>
  <w:documentProtection w:enforcement="0"/>
  <w:defaultTabStop w:val="800"/>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EA40D5"/>
    <w:rsid w:val="3B661EE9"/>
    <w:rsid w:val="59DB70C0"/>
    <w:rsid w:val="7AAE5A7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7</TotalTime>
  <ScaleCrop>false</ScaleCrop>
  <LinksUpToDate>false</LinksUpToDate>
  <Application>WPS Office_11.8.2.11718_F1E327BC-269C-435d-A152-05C5408002CA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2024-01-04T02:49:00Z</dcterms:created>
  <dc:creator>zrc</dc:creator>
  <cp:lastModifiedBy>zrcbank</cp:lastModifiedBy>
  <dcterms:modified xsi:type="dcterms:W3CDTF">2024-02-27T01:22:47Z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8B3C5631D78F437A9568B92CD9D5E48B</vt:lpwstr>
  </property>
</Properties>
</file>