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0" w:type="auto"/>
        <w:tblInd w:w="0" w:type="dxa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1"/>
        <w:gridCol w:w="800"/>
        <w:gridCol w:w="2000"/>
        <w:gridCol w:w="400"/>
        <w:gridCol w:w="400"/>
        <w:gridCol w:w="400"/>
        <w:gridCol w:w="20"/>
        <w:gridCol w:w="980"/>
        <w:gridCol w:w="1600"/>
        <w:gridCol w:w="400"/>
        <w:gridCol w:w="400"/>
        <w:gridCol w:w="220"/>
        <w:gridCol w:w="1380"/>
        <w:gridCol w:w="1700"/>
        <w:gridCol w:w="20"/>
        <w:gridCol w:w="780"/>
      </w:tblGrid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0" w:hRule="atLeast"/>
        </w:trPr>
        <w:tc>
          <w:p>
            <w:pPr>
              <w:pStyle w:val="4"/>
            </w:pPr>
            <w:bookmarkStart w:id="0" w:name="JR_PAGE_ANCHOR_0_1"/>
            <w:bookmarkEnd w:id="0"/>
          </w:p>
        </w:tc>
        <w:tc>
          <w:p>
            <w:pPr>
              <w:pStyle w:val="4"/>
            </w:pPr>
          </w:p>
        </w:tc>
        <w:tc>
          <w:tcPr>
            <w:gridSpan w:val="3"/>
          </w:tcPr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tcPr>
            <w:gridSpan w:val="5"/>
          </w:tcPr>
          <w:p>
            <w:pPr>
              <w:pStyle w:val="4"/>
            </w:pPr>
          </w:p>
        </w:tc>
        <w:tc>
          <w:tcPr>
            <w:gridSpan w:val="3"/>
          </w:tcPr>
          <w:p>
            <w:pPr>
              <w:pStyle w:val="4"/>
            </w:pPr>
          </w:p>
        </w:tc>
        <w:tc>
          <w:tcPr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800" w:hRule="exact"/>
        </w:trPr>
        <w:tc>
          <w:p>
            <w:pPr>
              <w:pStyle w:val="4"/>
            </w:pPr>
          </w:p>
        </w:tc>
        <w:tc>
          <w:tcPr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240" w:lineRule="auto"/>
              <w:jc w:val="center"/>
            </w:pPr>
            <w:r>
              <w:rPr>
                <w:rFonts w:ascii="原版宋体" w:hAnsi="原版宋体" w:eastAsia="原版宋体" w:cs="原版宋体"/>
                <w:b/>
                <w:color w:val="000000"/>
                <w:sz w:val="40"/>
              </w:rPr>
              <w:t>“金港湾·悠享月开1号”定期报告</w:t>
            </w:r>
          </w:p>
        </w:tc>
        <w:tc>
          <w:tcPr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00" w:hRule="exact"/>
        </w:trPr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tcPr>
            <w:gridSpan w:val="3"/>
          </w:tcPr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tcPr>
            <w:gridSpan w:val="5"/>
          </w:tcPr>
          <w:p>
            <w:pPr>
              <w:pStyle w:val="4"/>
            </w:pPr>
          </w:p>
        </w:tc>
        <w:tc>
          <w:tcPr>
            <w:gridSpan w:val="3"/>
          </w:tcPr>
          <w:p>
            <w:pPr>
              <w:pStyle w:val="4"/>
            </w:pPr>
          </w:p>
        </w:tc>
        <w:tc>
          <w:tcPr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p>
            <w:pPr>
              <w:pStyle w:val="4"/>
            </w:pPr>
          </w:p>
        </w:tc>
        <w:tc>
          <w:tcPr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产品管理人：江苏张家港农村商业银行股份有限公司</w:t>
            </w:r>
          </w:p>
        </w:tc>
        <w:tc>
          <w:tcPr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p>
            <w:pPr>
              <w:pStyle w:val="4"/>
            </w:pPr>
          </w:p>
        </w:tc>
        <w:tc>
          <w:tcPr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产品托管人：招商银行股份有限公司</w:t>
            </w:r>
          </w:p>
        </w:tc>
        <w:tc>
          <w:tcPr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p>
            <w:pPr>
              <w:pStyle w:val="4"/>
            </w:pPr>
          </w:p>
        </w:tc>
        <w:tc>
          <w:tcPr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发布时间：2023年12月31日</w:t>
            </w:r>
          </w:p>
        </w:tc>
        <w:tc>
          <w:tcPr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00" w:hRule="exact"/>
        </w:trPr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tcPr>
            <w:gridSpan w:val="3"/>
          </w:tcPr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tcPr>
            <w:gridSpan w:val="5"/>
          </w:tcPr>
          <w:p>
            <w:pPr>
              <w:pStyle w:val="4"/>
            </w:pPr>
          </w:p>
        </w:tc>
        <w:tc>
          <w:tcPr>
            <w:gridSpan w:val="3"/>
          </w:tcPr>
          <w:p>
            <w:pPr>
              <w:pStyle w:val="4"/>
            </w:pPr>
          </w:p>
        </w:tc>
        <w:tc>
          <w:tcPr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00" w:hRule="exact"/>
        </w:trPr>
        <w:tc>
          <w:p>
            <w:pPr>
              <w:pStyle w:val="4"/>
            </w:pPr>
          </w:p>
        </w:tc>
        <w:tc>
          <w:tcPr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1  重要提示</w:t>
            </w:r>
          </w:p>
        </w:tc>
        <w:tc>
          <w:tcPr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p>
            <w:pPr>
              <w:pStyle w:val="4"/>
            </w:pPr>
          </w:p>
        </w:tc>
        <w:tc>
          <w:tcPr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产品的过往业绩并不代表其未来表现。投资有风险，投资者在作出投资决策前应仔细阅读本产品说明书。</w:t>
            </w:r>
          </w:p>
        </w:tc>
        <w:tc>
          <w:tcPr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p>
            <w:pPr>
              <w:pStyle w:val="4"/>
            </w:pPr>
          </w:p>
        </w:tc>
        <w:tc>
          <w:tcPr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本报告中财务资料未经审计。</w:t>
            </w:r>
          </w:p>
        </w:tc>
        <w:tc>
          <w:tcPr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p>
            <w:pPr>
              <w:pStyle w:val="4"/>
            </w:pPr>
          </w:p>
        </w:tc>
        <w:tc>
          <w:tcPr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本报告期自2023年01月01日起至12月31日止。</w:t>
            </w:r>
          </w:p>
        </w:tc>
        <w:tc>
          <w:tcPr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00" w:hRule="exact"/>
        </w:trPr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tcPr>
            <w:gridSpan w:val="3"/>
          </w:tcPr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tcPr>
            <w:gridSpan w:val="5"/>
          </w:tcPr>
          <w:p>
            <w:pPr>
              <w:pStyle w:val="4"/>
            </w:pPr>
          </w:p>
        </w:tc>
        <w:tc>
          <w:tcPr>
            <w:gridSpan w:val="3"/>
          </w:tcPr>
          <w:p>
            <w:pPr>
              <w:pStyle w:val="4"/>
            </w:pPr>
          </w:p>
        </w:tc>
        <w:tc>
          <w:tcPr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00" w:hRule="exact"/>
        </w:trPr>
        <w:tc>
          <w:p>
            <w:pPr>
              <w:pStyle w:val="4"/>
            </w:pPr>
          </w:p>
        </w:tc>
        <w:tc>
          <w:tcPr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2  产品概况</w:t>
            </w:r>
          </w:p>
        </w:tc>
        <w:tc>
          <w:tcPr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800" w:hRule="exact"/>
        </w:trPr>
        <w:tc>
          <w:p>
            <w:pPr>
              <w:pStyle w:val="4"/>
            </w:pPr>
          </w:p>
        </w:tc>
        <w:tc>
          <w:tcPr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产品名称</w:t>
            </w:r>
          </w:p>
        </w:tc>
        <w:tc>
          <w:tcPr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金港湾·悠享月开1号净值型人民币理财产品</w:t>
            </w:r>
          </w:p>
        </w:tc>
        <w:tc>
          <w:tcPr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p>
            <w:pPr>
              <w:pStyle w:val="4"/>
            </w:pPr>
          </w:p>
        </w:tc>
        <w:tc>
          <w:tcPr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产品编码</w:t>
            </w:r>
          </w:p>
        </w:tc>
        <w:tc>
          <w:tcPr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YX1801001</w:t>
            </w:r>
          </w:p>
        </w:tc>
        <w:tc>
          <w:tcPr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p>
            <w:pPr>
              <w:pStyle w:val="4"/>
            </w:pPr>
          </w:p>
        </w:tc>
        <w:tc>
          <w:tcPr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全国银行业理财信息登记系统编码</w:t>
            </w:r>
          </w:p>
        </w:tc>
        <w:tc>
          <w:tcPr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C1115618000335</w:t>
            </w:r>
          </w:p>
        </w:tc>
        <w:tc>
          <w:tcPr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p>
            <w:pPr>
              <w:pStyle w:val="4"/>
            </w:pPr>
          </w:p>
        </w:tc>
        <w:tc>
          <w:tcPr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产品运作方式</w:t>
            </w:r>
          </w:p>
        </w:tc>
        <w:tc>
          <w:tcPr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开放式净值型</w:t>
            </w:r>
          </w:p>
        </w:tc>
        <w:tc>
          <w:tcPr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p>
            <w:pPr>
              <w:pStyle w:val="4"/>
            </w:pPr>
          </w:p>
        </w:tc>
        <w:tc>
          <w:tcPr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产品类型</w:t>
            </w:r>
          </w:p>
        </w:tc>
        <w:tc>
          <w:tcPr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固定收益类</w:t>
            </w:r>
          </w:p>
        </w:tc>
        <w:tc>
          <w:tcPr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p>
            <w:pPr>
              <w:pStyle w:val="4"/>
            </w:pPr>
          </w:p>
        </w:tc>
        <w:tc>
          <w:tcPr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募集方式</w:t>
            </w:r>
          </w:p>
        </w:tc>
        <w:tc>
          <w:tcPr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公募</w:t>
            </w:r>
          </w:p>
        </w:tc>
        <w:tc>
          <w:tcPr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p>
            <w:pPr>
              <w:pStyle w:val="4"/>
            </w:pPr>
          </w:p>
        </w:tc>
        <w:tc>
          <w:tcPr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报告期末产品份额总额</w:t>
            </w:r>
          </w:p>
        </w:tc>
        <w:tc>
          <w:tcPr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1,144,413,093.23</w:t>
            </w:r>
          </w:p>
        </w:tc>
        <w:tc>
          <w:tcPr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p>
            <w:pPr>
              <w:pStyle w:val="4"/>
            </w:pPr>
          </w:p>
        </w:tc>
        <w:tc>
          <w:tcPr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报告期末单位净值</w:t>
            </w:r>
          </w:p>
        </w:tc>
        <w:tc>
          <w:tcPr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1.0187</w:t>
            </w:r>
          </w:p>
        </w:tc>
        <w:tc>
          <w:tcPr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p>
            <w:pPr>
              <w:pStyle w:val="4"/>
            </w:pPr>
          </w:p>
        </w:tc>
        <w:tc>
          <w:tcPr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报告期末累计单位净值</w:t>
            </w:r>
          </w:p>
        </w:tc>
        <w:tc>
          <w:tcPr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  <w:rPr>
                <w:rFonts w:hint="default" w:eastAsia="原版宋体"/>
                <w:lang w:val="en-US" w:eastAsia="zh-CN"/>
              </w:rPr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1.1</w:t>
            </w:r>
            <w:r>
              <w:rPr>
                <w:rFonts w:hint="eastAsia" w:ascii="原版宋体" w:hAnsi="原版宋体" w:eastAsia="原版宋体" w:cs="原版宋体"/>
                <w:color w:val="000000"/>
                <w:sz w:val="20"/>
                <w:lang w:val="en-US" w:eastAsia="zh-CN"/>
              </w:rPr>
              <w:t>977</w:t>
            </w:r>
          </w:p>
        </w:tc>
        <w:tc>
          <w:tcPr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p>
            <w:pPr>
              <w:pStyle w:val="4"/>
            </w:pPr>
          </w:p>
        </w:tc>
        <w:tc>
          <w:tcPr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报告期末净值增长率（年化）</w:t>
            </w:r>
          </w:p>
        </w:tc>
        <w:tc>
          <w:tcPr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lang w:val="en-US" w:eastAsia="zh-CN"/>
              </w:rPr>
              <w:t>3.1025</w:t>
            </w:r>
            <w:bookmarkStart w:id="3" w:name="_GoBack"/>
            <w:bookmarkEnd w:id="3"/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%</w:t>
            </w:r>
          </w:p>
        </w:tc>
        <w:tc>
          <w:tcPr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00" w:hRule="exact"/>
        </w:trPr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tcPr>
            <w:gridSpan w:val="3"/>
          </w:tcPr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tcPr>
            <w:gridSpan w:val="5"/>
          </w:tcPr>
          <w:p>
            <w:pPr>
              <w:pStyle w:val="4"/>
            </w:pPr>
          </w:p>
        </w:tc>
        <w:tc>
          <w:tcPr>
            <w:gridSpan w:val="3"/>
          </w:tcPr>
          <w:p>
            <w:pPr>
              <w:pStyle w:val="4"/>
            </w:pPr>
          </w:p>
        </w:tc>
        <w:tc>
          <w:tcPr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00" w:hRule="exact"/>
        </w:trPr>
        <w:tc>
          <w:p>
            <w:pPr>
              <w:pStyle w:val="4"/>
            </w:pPr>
          </w:p>
        </w:tc>
        <w:tc>
          <w:tcPr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3  资产组合报告</w:t>
            </w:r>
          </w:p>
        </w:tc>
        <w:tc>
          <w:tcPr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p>
            <w:pPr>
              <w:pStyle w:val="4"/>
            </w:pPr>
          </w:p>
        </w:tc>
        <w:tc>
          <w:tcPr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3.1 报告期末产品资产组合情况</w:t>
            </w:r>
          </w:p>
        </w:tc>
        <w:tc>
          <w:tcPr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p>
            <w:pPr>
              <w:pStyle w:val="4"/>
            </w:pP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序号</w:t>
            </w:r>
          </w:p>
        </w:tc>
        <w:tc>
          <w:tcPr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项目</w:t>
            </w:r>
          </w:p>
        </w:tc>
        <w:tc>
          <w:tcPr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金额（元）</w:t>
            </w:r>
          </w:p>
        </w:tc>
        <w:tc>
          <w:tcPr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占资产组合比例（%）</w:t>
            </w:r>
          </w:p>
        </w:tc>
        <w:tc>
          <w:tcPr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p>
            <w:pPr>
              <w:pStyle w:val="4"/>
            </w:pP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</w:t>
            </w:r>
          </w:p>
        </w:tc>
        <w:tc>
          <w:tcPr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固定收益投资</w:t>
            </w:r>
          </w:p>
        </w:tc>
        <w:tc>
          <w:tcPr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1,188,549,926.94</w:t>
            </w:r>
          </w:p>
        </w:tc>
        <w:tc>
          <w:tcPr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99.35%</w:t>
            </w:r>
          </w:p>
        </w:tc>
        <w:tc>
          <w:tcPr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p>
            <w:pPr>
              <w:pStyle w:val="4"/>
            </w:pP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</w:p>
        </w:tc>
        <w:tc>
          <w:tcPr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其中:银行间/交易所产品</w:t>
            </w:r>
          </w:p>
        </w:tc>
        <w:tc>
          <w:tcPr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1,169,264,242.27</w:t>
            </w:r>
          </w:p>
        </w:tc>
        <w:tc>
          <w:tcPr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97.74%</w:t>
            </w:r>
          </w:p>
        </w:tc>
        <w:tc>
          <w:tcPr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p>
            <w:pPr>
              <w:pStyle w:val="4"/>
            </w:pP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</w:p>
        </w:tc>
        <w:tc>
          <w:tcPr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  其中：回购</w:t>
            </w:r>
          </w:p>
        </w:tc>
        <w:tc>
          <w:tcPr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100,161,643.95</w:t>
            </w:r>
          </w:p>
        </w:tc>
        <w:tc>
          <w:tcPr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8.37%</w:t>
            </w:r>
          </w:p>
        </w:tc>
        <w:tc>
          <w:tcPr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0" w:hRule="atLeast"/>
        </w:trPr>
        <w:tc>
          <w:p>
            <w:pPr>
              <w:pStyle w:val="4"/>
              <w:pageBreakBefore/>
            </w:pPr>
            <w:bookmarkStart w:id="1" w:name="JR_PAGE_ANCHOR_0_2"/>
            <w:bookmarkEnd w:id="1"/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tcPr>
            <w:gridSpan w:val="3"/>
          </w:tcPr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tcPr>
            <w:gridSpan w:val="2"/>
          </w:tcPr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p>
            <w:pPr>
              <w:pStyle w:val="4"/>
            </w:pP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</w:p>
        </w:tc>
        <w:tc>
          <w:tcPr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非银行间/非交易所产品</w:t>
            </w:r>
          </w:p>
        </w:tc>
        <w:tc>
          <w:tcPr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19,285,684.67</w:t>
            </w:r>
          </w:p>
        </w:tc>
        <w:tc>
          <w:tcPr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1.61%</w:t>
            </w: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p>
            <w:pPr>
              <w:pStyle w:val="4"/>
            </w:pP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</w:t>
            </w:r>
          </w:p>
        </w:tc>
        <w:tc>
          <w:tcPr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银行存款合计</w:t>
            </w:r>
          </w:p>
        </w:tc>
        <w:tc>
          <w:tcPr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7,731,978.10</w:t>
            </w:r>
          </w:p>
        </w:tc>
        <w:tc>
          <w:tcPr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0.65%</w:t>
            </w: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p>
            <w:pPr>
              <w:pStyle w:val="4"/>
            </w:pP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</w:t>
            </w:r>
          </w:p>
        </w:tc>
        <w:tc>
          <w:tcPr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其他资产</w:t>
            </w:r>
          </w:p>
        </w:tc>
        <w:tc>
          <w:tcPr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</w:t>
            </w:r>
          </w:p>
        </w:tc>
        <w:tc>
          <w:tcPr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0.00%</w:t>
            </w: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p>
            <w:pPr>
              <w:pStyle w:val="4"/>
            </w:pP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4</w:t>
            </w:r>
          </w:p>
        </w:tc>
        <w:tc>
          <w:tcPr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合计</w:t>
            </w:r>
          </w:p>
        </w:tc>
        <w:tc>
          <w:tcPr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1,196,281,905.04</w:t>
            </w:r>
          </w:p>
        </w:tc>
        <w:tc>
          <w:tcPr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100.00%</w:t>
            </w: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00" w:hRule="exact"/>
        </w:trPr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tcPr>
            <w:gridSpan w:val="3"/>
          </w:tcPr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tcPr>
            <w:gridSpan w:val="2"/>
          </w:tcPr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p>
            <w:pPr>
              <w:pStyle w:val="4"/>
            </w:pPr>
          </w:p>
        </w:tc>
        <w:tc>
          <w:tcPr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3.2 报告期末按债券品种分类的债券投资组合</w:t>
            </w: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p>
            <w:pPr>
              <w:pStyle w:val="4"/>
            </w:pP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序号</w:t>
            </w:r>
          </w:p>
        </w:tc>
        <w:tc>
          <w:tcPr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债券品种</w:t>
            </w:r>
          </w:p>
        </w:tc>
        <w:tc>
          <w:tcPr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金额（元）</w:t>
            </w:r>
          </w:p>
        </w:tc>
        <w:tc>
          <w:tcPr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占资产组合比例（%）</w:t>
            </w:r>
          </w:p>
        </w:tc>
        <w:tc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p>
            <w:pPr>
              <w:pStyle w:val="4"/>
            </w:pP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</w:t>
            </w:r>
          </w:p>
        </w:tc>
        <w:tc>
          <w:tcPr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国家债券</w:t>
            </w:r>
          </w:p>
        </w:tc>
        <w:tc>
          <w:tcPr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101,998,344.90</w:t>
            </w:r>
          </w:p>
        </w:tc>
        <w:tc>
          <w:tcPr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8.53%</w:t>
            </w:r>
          </w:p>
        </w:tc>
        <w:tc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p>
            <w:pPr>
              <w:pStyle w:val="4"/>
            </w:pP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</w:t>
            </w:r>
          </w:p>
        </w:tc>
        <w:tc>
          <w:tcPr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央行票据</w:t>
            </w:r>
          </w:p>
        </w:tc>
        <w:tc>
          <w:tcPr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</w:t>
            </w:r>
          </w:p>
        </w:tc>
        <w:tc>
          <w:tcPr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0.00%</w:t>
            </w:r>
          </w:p>
        </w:tc>
        <w:tc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p>
            <w:pPr>
              <w:pStyle w:val="4"/>
            </w:pP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</w:t>
            </w:r>
          </w:p>
        </w:tc>
        <w:tc>
          <w:tcPr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金融债券</w:t>
            </w:r>
          </w:p>
        </w:tc>
        <w:tc>
          <w:tcPr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442,726,651.13</w:t>
            </w:r>
          </w:p>
        </w:tc>
        <w:tc>
          <w:tcPr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37.01%</w:t>
            </w:r>
          </w:p>
        </w:tc>
        <w:tc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p>
            <w:pPr>
              <w:pStyle w:val="4"/>
            </w:pP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</w:p>
        </w:tc>
        <w:tc>
          <w:tcPr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其中：政策性金融债</w:t>
            </w:r>
          </w:p>
        </w:tc>
        <w:tc>
          <w:tcPr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344,423,201.26</w:t>
            </w:r>
          </w:p>
        </w:tc>
        <w:tc>
          <w:tcPr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28.79%</w:t>
            </w:r>
          </w:p>
        </w:tc>
        <w:tc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p>
            <w:pPr>
              <w:pStyle w:val="4"/>
            </w:pP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4</w:t>
            </w:r>
          </w:p>
        </w:tc>
        <w:tc>
          <w:tcPr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企业债券</w:t>
            </w:r>
          </w:p>
        </w:tc>
        <w:tc>
          <w:tcPr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504,060,158.03</w:t>
            </w:r>
          </w:p>
        </w:tc>
        <w:tc>
          <w:tcPr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42.14%</w:t>
            </w:r>
          </w:p>
        </w:tc>
        <w:tc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p>
            <w:pPr>
              <w:pStyle w:val="4"/>
            </w:pP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5</w:t>
            </w:r>
          </w:p>
        </w:tc>
        <w:tc>
          <w:tcPr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企业短期融资券</w:t>
            </w:r>
          </w:p>
        </w:tc>
        <w:tc>
          <w:tcPr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20,317,444.26</w:t>
            </w:r>
          </w:p>
        </w:tc>
        <w:tc>
          <w:tcPr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1.70%</w:t>
            </w:r>
          </w:p>
        </w:tc>
        <w:tc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p>
            <w:pPr>
              <w:pStyle w:val="4"/>
            </w:pP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6</w:t>
            </w:r>
          </w:p>
        </w:tc>
        <w:tc>
          <w:tcPr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可转债</w:t>
            </w:r>
          </w:p>
        </w:tc>
        <w:tc>
          <w:tcPr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</w:t>
            </w:r>
          </w:p>
        </w:tc>
        <w:tc>
          <w:tcPr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0.00%</w:t>
            </w:r>
          </w:p>
        </w:tc>
        <w:tc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p>
            <w:pPr>
              <w:pStyle w:val="4"/>
            </w:pP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7</w:t>
            </w:r>
          </w:p>
        </w:tc>
        <w:tc>
          <w:tcPr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其他</w:t>
            </w:r>
          </w:p>
        </w:tc>
        <w:tc>
          <w:tcPr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</w:t>
            </w:r>
          </w:p>
        </w:tc>
        <w:tc>
          <w:tcPr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0.00%</w:t>
            </w:r>
          </w:p>
        </w:tc>
        <w:tc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p>
            <w:pPr>
              <w:pStyle w:val="4"/>
            </w:pP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8</w:t>
            </w:r>
          </w:p>
        </w:tc>
        <w:tc>
          <w:tcPr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合计</w:t>
            </w:r>
          </w:p>
        </w:tc>
        <w:tc>
          <w:tcPr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1,069,102,598.32</w:t>
            </w:r>
          </w:p>
        </w:tc>
        <w:tc>
          <w:tcPr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89.38%</w:t>
            </w:r>
          </w:p>
        </w:tc>
        <w:tc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180" w:hRule="exact"/>
        </w:trPr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tcPr>
            <w:gridSpan w:val="3"/>
          </w:tcPr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tcPr>
            <w:gridSpan w:val="2"/>
          </w:tcPr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p>
            <w:pPr>
              <w:pStyle w:val="4"/>
            </w:pPr>
          </w:p>
        </w:tc>
        <w:tc>
          <w:tcPr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3.3 报告期末按市值占产品资产净值比例大小排名前十的资产投资明细</w:t>
            </w: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00" w:hRule="exact"/>
        </w:trPr>
        <w:tc>
          <w:p>
            <w:pPr>
              <w:pStyle w:val="4"/>
            </w:pP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序号</w:t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资产代码</w:t>
            </w:r>
          </w:p>
        </w:tc>
        <w:tc>
          <w:tcPr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资产名称</w:t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数量</w:t>
            </w:r>
          </w:p>
        </w:tc>
        <w:tc>
          <w:tcPr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市值(元)</w:t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center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占产品资产净值比例（％）</w:t>
            </w: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00" w:hRule="exact"/>
        </w:trPr>
        <w:tc>
          <w:p>
            <w:pPr>
              <w:pStyle w:val="4"/>
            </w:pP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1</w:t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230406          </w:t>
            </w:r>
          </w:p>
        </w:tc>
        <w:tc>
          <w:tcPr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23农发06</w:t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300,000,000.00</w:t>
            </w:r>
          </w:p>
        </w:tc>
        <w:tc>
          <w:tcPr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303,955,863.93</w:t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26.07%</w:t>
            </w: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00" w:hRule="exact"/>
        </w:trPr>
        <w:tc>
          <w:p>
            <w:pPr>
              <w:pStyle w:val="4"/>
            </w:pP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2</w:t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</w:p>
        </w:tc>
        <w:tc>
          <w:tcPr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回购</w:t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</w:t>
            </w:r>
            <w:r>
              <w:rPr>
                <w:rFonts w:hint="eastAsia" w:ascii="原版宋体" w:hAnsi="原版宋体" w:eastAsia="原版宋体" w:cs="原版宋体"/>
                <w:color w:val="000000"/>
                <w:sz w:val="20"/>
                <w:lang w:val="en-US" w:eastAsia="zh-CN"/>
              </w:rPr>
              <w:t>00,0</w:t>
            </w: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00,000.00</w:t>
            </w:r>
          </w:p>
        </w:tc>
        <w:tc>
          <w:tcPr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100,161,643.95</w:t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8.59%</w:t>
            </w: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00" w:hRule="exact"/>
        </w:trPr>
        <w:tc>
          <w:p>
            <w:pPr>
              <w:pStyle w:val="4"/>
            </w:pP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3</w:t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230022          </w:t>
            </w:r>
          </w:p>
        </w:tc>
        <w:tc>
          <w:tcPr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23附息国债22</w:t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70,000,000.00</w:t>
            </w:r>
          </w:p>
        </w:tc>
        <w:tc>
          <w:tcPr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70,881,399.84</w:t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6.08%</w:t>
            </w: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00" w:hRule="exact"/>
        </w:trPr>
        <w:tc>
          <w:p>
            <w:pPr>
              <w:pStyle w:val="4"/>
            </w:pP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4</w:t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032280620       </w:t>
            </w:r>
          </w:p>
        </w:tc>
        <w:tc>
          <w:tcPr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22溧阳城建PPN003</w:t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60,000,000.00</w:t>
            </w:r>
          </w:p>
        </w:tc>
        <w:tc>
          <w:tcPr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61,238,431.15</w:t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5.25%</w:t>
            </w: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00" w:hRule="exact"/>
        </w:trPr>
        <w:tc>
          <w:p>
            <w:pPr>
              <w:pStyle w:val="4"/>
            </w:pP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5</w:t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032281087       </w:t>
            </w:r>
          </w:p>
        </w:tc>
        <w:tc>
          <w:tcPr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22南湖投资PPN002</w:t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50,000,000.00</w:t>
            </w:r>
          </w:p>
        </w:tc>
        <w:tc>
          <w:tcPr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50,757,724.32</w:t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4.35%</w:t>
            </w: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00" w:hRule="exact"/>
        </w:trPr>
        <w:tc>
          <w:p>
            <w:pPr>
              <w:pStyle w:val="4"/>
            </w:pP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6</w:t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032281038       </w:t>
            </w:r>
          </w:p>
        </w:tc>
        <w:tc>
          <w:tcPr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22路桥公投PPN003</w:t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50,000,000.00</w:t>
            </w:r>
          </w:p>
        </w:tc>
        <w:tc>
          <w:tcPr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50,325,127.87</w:t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4.32%</w:t>
            </w: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00" w:hRule="exact"/>
        </w:trPr>
        <w:tc>
          <w:p>
            <w:pPr>
              <w:pStyle w:val="4"/>
            </w:pP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7</w:t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112304023       </w:t>
            </w:r>
          </w:p>
        </w:tc>
        <w:tc>
          <w:tcPr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23中国银行CD023</w:t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50,000,000.00</w:t>
            </w:r>
          </w:p>
        </w:tc>
        <w:tc>
          <w:tcPr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49,340,964.62</w:t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4.23%</w:t>
            </w: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00" w:hRule="exact"/>
        </w:trPr>
        <w:tc>
          <w:p>
            <w:pPr>
              <w:pStyle w:val="4"/>
            </w:pP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8</w:t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112314191       </w:t>
            </w:r>
          </w:p>
        </w:tc>
        <w:tc>
          <w:tcPr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23江苏银行CD191</w:t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50,000,000.00</w:t>
            </w:r>
          </w:p>
        </w:tc>
        <w:tc>
          <w:tcPr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48,962,485.25</w:t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4.20%</w:t>
            </w: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00" w:hRule="exact"/>
        </w:trPr>
        <w:tc>
          <w:p>
            <w:pPr>
              <w:pStyle w:val="4"/>
            </w:pP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9</w:t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250971        </w:t>
            </w:r>
          </w:p>
        </w:tc>
        <w:tc>
          <w:tcPr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23宿迁Y1</w:t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40,000,000.00</w:t>
            </w:r>
          </w:p>
        </w:tc>
        <w:tc>
          <w:tcPr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41,003,364.38</w:t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3.52%</w:t>
            </w: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00" w:hRule="exact"/>
        </w:trPr>
        <w:tc>
          <w:p>
            <w:pPr>
              <w:pStyle w:val="4"/>
            </w:pP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10</w:t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032280717       </w:t>
            </w:r>
          </w:p>
        </w:tc>
        <w:tc>
          <w:tcPr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22江宁交通PPN003</w:t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40,000,000.00</w:t>
            </w:r>
          </w:p>
        </w:tc>
        <w:tc>
          <w:tcPr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40,685,537.70</w:t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3.49%</w:t>
            </w: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0" w:hRule="atLeast"/>
        </w:trPr>
        <w:tc>
          <w:p>
            <w:pPr>
              <w:pStyle w:val="4"/>
              <w:pageBreakBefore/>
            </w:pPr>
            <w:bookmarkStart w:id="2" w:name="JR_PAGE_ANCHOR_0_3"/>
            <w:bookmarkEnd w:id="2"/>
          </w:p>
        </w:tc>
        <w:tc>
          <w:tcPr>
            <w:gridSpan w:val="3"/>
          </w:tcPr>
          <w:p>
            <w:pPr>
              <w:pStyle w:val="4"/>
            </w:pPr>
          </w:p>
        </w:tc>
        <w:tc>
          <w:tcPr>
            <w:gridSpan w:val="5"/>
          </w:tcPr>
          <w:p>
            <w:pPr>
              <w:pStyle w:val="4"/>
            </w:pPr>
          </w:p>
        </w:tc>
        <w:tc>
          <w:tcPr>
            <w:gridSpan w:val="5"/>
          </w:tcPr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p>
            <w:pPr>
              <w:pStyle w:val="4"/>
            </w:pPr>
          </w:p>
        </w:tc>
        <w:tc>
          <w:tcPr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3.4 报告期末资产组合流动性风险分析</w:t>
            </w: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p>
            <w:pPr>
              <w:pStyle w:val="4"/>
            </w:pPr>
          </w:p>
        </w:tc>
        <w:tc>
          <w:tcPr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流动性资产市值（元）</w:t>
            </w:r>
          </w:p>
        </w:tc>
        <w:tc>
          <w:tcPr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产品资产净值（元）</w:t>
            </w:r>
          </w:p>
        </w:tc>
        <w:tc>
          <w:tcPr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流动性资产占比（%）</w:t>
            </w: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p>
            <w:pPr>
              <w:pStyle w:val="4"/>
            </w:pPr>
          </w:p>
        </w:tc>
        <w:tc>
          <w:tcPr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center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363,145,899.17</w:t>
            </w:r>
          </w:p>
        </w:tc>
        <w:tc>
          <w:tcPr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center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1,165,820,010.80</w:t>
            </w:r>
          </w:p>
        </w:tc>
        <w:tc>
          <w:tcPr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center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31.15%</w:t>
            </w: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820" w:hRule="exact"/>
        </w:trPr>
        <w:tc>
          <w:p>
            <w:pPr>
              <w:pStyle w:val="4"/>
            </w:pPr>
          </w:p>
        </w:tc>
        <w:tc>
          <w:tcPr>
            <w:gridSpan w:val="3"/>
          </w:tcPr>
          <w:p>
            <w:pPr>
              <w:pStyle w:val="4"/>
            </w:pPr>
          </w:p>
        </w:tc>
        <w:tc>
          <w:tcPr>
            <w:gridSpan w:val="5"/>
          </w:tcPr>
          <w:p>
            <w:pPr>
              <w:pStyle w:val="4"/>
            </w:pPr>
          </w:p>
        </w:tc>
        <w:tc>
          <w:tcPr>
            <w:gridSpan w:val="5"/>
          </w:tcPr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200" w:hRule="exact"/>
        </w:trPr>
        <w:tc>
          <w:p>
            <w:pPr>
              <w:pStyle w:val="4"/>
            </w:pPr>
          </w:p>
        </w:tc>
        <w:tc>
          <w:tcPr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报告期内，产品管理人通过合理安排资产配置结构，保持一定比例的高流动性资产，控制资产久期、杠杆融资比例，管控产品流动性风险。持仓中利率债和中高等级信用债占比较高，对于关键时点的规模变动和资金面波动都有充足的准备，且融资渠道畅通多元，风险总体可控。</w:t>
            </w: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080" w:hRule="exact"/>
        </w:trPr>
        <w:tc>
          <w:p>
            <w:pPr>
              <w:pStyle w:val="4"/>
            </w:pPr>
          </w:p>
        </w:tc>
        <w:tc>
          <w:tcPr>
            <w:gridSpan w:val="3"/>
          </w:tcPr>
          <w:p>
            <w:pPr>
              <w:pStyle w:val="4"/>
            </w:pPr>
          </w:p>
        </w:tc>
        <w:tc>
          <w:tcPr>
            <w:gridSpan w:val="5"/>
          </w:tcPr>
          <w:p>
            <w:pPr>
              <w:pStyle w:val="4"/>
            </w:pPr>
          </w:p>
        </w:tc>
        <w:tc>
          <w:tcPr>
            <w:gridSpan w:val="5"/>
          </w:tcPr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p>
            <w:pPr>
              <w:pStyle w:val="4"/>
            </w:pPr>
          </w:p>
        </w:tc>
        <w:tc>
          <w:tcPr>
            <w:gridSpan w:val="14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spacing w:before="0" w:after="0" w:line="360" w:lineRule="auto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江苏张家港农村商业银行股份有限公司</w:t>
            </w:r>
          </w:p>
        </w:tc>
        <w:tc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p>
            <w:pPr>
              <w:pStyle w:val="4"/>
            </w:pPr>
          </w:p>
        </w:tc>
        <w:tc>
          <w:tcPr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spacing w:before="0" w:after="0" w:line="360" w:lineRule="auto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2023年12月31日</w:t>
            </w: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</w:tr>
    </w:tbl>
    <w:p/>
    <w:sectPr>
      <w:pgSz w:w="13900" w:h="16840"/>
      <w:pgMar w:top="800" w:right="1200" w:bottom="440" w:left="1200" w:header="0" w:footer="0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SansSerif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原版宋体">
    <w:altName w:val="宋体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ocumentProtection w:enforcement="0"/>
  <w:defaultTabStop w:val="800"/>
  <w:compat>
    <w:useFELayout/>
    <w:splitPgBreakAndParaMark/>
    <w:compatSetting w:name="compatibilityMode" w:uri="http://schemas.microsoft.com/office/word" w:val="12"/>
  </w:compat>
  <w:rsids>
    <w:rsidRoot w:val="00000000"/>
    <w:rsid w:val="1D9E130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sz w:val="21"/>
      <w:szCs w:val="22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EMPTY_CELL_STYLE"/>
    <w:qFormat/>
    <w:uiPriority w:val="0"/>
    <w:pPr>
      <w:spacing w:line="240" w:lineRule="auto"/>
    </w:pPr>
    <w:rPr>
      <w:rFonts w:ascii="SansSerif" w:hAnsi="SansSerif" w:eastAsia="SansSerif" w:cs="SansSerif"/>
      <w:color w:val="000000"/>
      <w:sz w:val="1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otalTime>13</TotalTime>
  <ScaleCrop>false</ScaleCrop>
  <LinksUpToDate>false</LinksUpToDate>
  <Application>WPS Office_11.8.2.11718_F1E327BC-269C-435d-A152-05C5408002CA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2024-02-23T02:22:26Z</dcterms:created>
  <dc:creator>zrcbank</dc:creator>
  <cp:lastModifiedBy>zrcbank</cp:lastModifiedBy>
  <dcterms:modified xsi:type="dcterms:W3CDTF">2024-02-23T02:36:53Z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2052-11.8.2.11718</vt:lpwstr>
  </property>
  <property fmtid="{D5CDD505-2E9C-101B-9397-08002B2CF9AE}" pid="3" name="ICV">
    <vt:lpwstr>0F175890FB8546FD89E84E24BEE80CD2</vt:lpwstr>
  </property>
</Properties>
</file>