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rPr>
          <w:trHeight w:hRule="exact" w:val="8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800"/>
        </w:trPr>
        <w:tc>
          <w:tcPr>
     </w:tcPr>
          <w:p>
            <w:pPr>
              <w:pStyle w:val="EMPTY_CELL_STYLE"/>
            </w:pPr>
          </w:p>
        </w:tc>
        <w:tc>
          <w:tcPr>
            <w:gridSpan w:val="15"/>
            <w:tcMar>
              <w:top w:w="0" w:type="dxa"/>
              <w:left w:w="0" w:type="dxa"/>
              <w:bottom w:w="0" w:type="dxa"/>
              <w:right w:w="0" w:type="dxa"/>
            </w:tcMar>
            <w:vAlign w:val="center"/>
          </w:tcPr>
          <w:p>
            <w:pPr>
              <w:ind/>
              <w:jc w:val="center"/>
              <w:spacing w:lineRule="auto" w:line="240" w:after="0" w:before="0"/>
            </w:pPr>
            <w:r>
              <w:rPr>
                <w:rFonts w:ascii="原版宋体" w:hAnsi="原版宋体" w:eastAsia="原版宋体" w:cs="原版宋体"/>
                <w:color w:val="000000"/>
                <w:sz w:val="40"/>
                <w:b w:val="true"/>
              </w:rPr>
              <w:t xml:space="preserve">“金港湾惠享1968期”定期报告</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产品管理人：江苏张家港农村商业银行股份有限公司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产品托管人：宁波银行股份有限公司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发布时间：2025年03月31日</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b w:val="true"/>
              </w:rPr>
              <w:t xml:space="preserve">1  重要提示</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本报告中财务资料未经审计。</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本报告期自2025年03月14日起至03月31日止。</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2  产品概况</w:t>
            </w:r>
          </w:p>
        </w:tc>
        <w:tc>
          <w:tcPr>
     </w:tcPr>
          <w:p>
            <w:pPr>
              <w:pStyle w:val="EMPTY_CELL_STYLE"/>
            </w:pPr>
          </w:p>
        </w:tc>
        <w:tc>
          <w:tcPr>
     </w:tcPr>
          <w:p>
            <w:pPr>
              <w:pStyle w:val="EMPTY_CELL_STYLE"/>
            </w:pPr>
          </w:p>
        </w:tc>
      </w:tr>
      <w:tr>
        <w:trPr>
          <w:trHeight w:hRule="exact" w:val="8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产品名称</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金港湾惠享1968期净值型人民币理财产品</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HX1968</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全国银行业理财信息登记系统编码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C1115624000017</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产品运作方式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封闭式净值型</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产品类型</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固定收益类</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募集方式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公募</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报告期末产品份额总额</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289,180,000.00</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1.0012</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报告期末累计单位净值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1.0012</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报告期末净值增长率（年化）</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2.3800%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3  资产组合报告</w:t>
            </w: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3.1 报告期末产品资产组合情况</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项目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固定收益投资</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282,876,620.00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97.67%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其中:银行间/交易所产品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282,876,620.00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97.67%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其中：回购</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100,040,323.98</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34.54%</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非银行间/非交易所产品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银行存款合计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6,737,342.23</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2.33%</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其他资产</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289,613,962.23</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3.2 报告期末按债券品种分类的债券投资组合</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债券品种</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国家债券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央行票据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30,578,879.59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10.56%</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其中：政策性金融债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9,986,146.44</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3.45%</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152,257,416.43</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52.57%</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企业短期融资券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可转债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8</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182,836,296.02</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63.13%</w:t>
            </w:r>
          </w:p>
        </w:tc>
        <w:tc>
          <w:tcPr>
     </w:tcPr>
          <w:p>
            <w:pPr>
              <w:pStyle w:val="EMPTY_CELL_STYLE"/>
            </w:pPr>
          </w:p>
        </w:tc>
      </w:tr>
      <w:tr>
        <w:trPr>
          <w:trHeight w:hRule="exact" w:val="11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3.3 报告期末按市值占产品资产组合比例大小排名前十的资产投资明细</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资产代码</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资产名称</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数量</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市值(元)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占产品资产组合比例（％）</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回购</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111,300,000.00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100,040,323.98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34.54%</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114692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23玉环01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21,095,420.22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7.28%</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252514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23扬州04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20,869,436.21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7.21%</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133547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23福清02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20,844,134.79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7.20%</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250906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GC建邺01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20,713,931.78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7.15%</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185269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22兴业01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20,592,733.15</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7.11%</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254875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24溧城01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20,347,016.00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7.03%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032400973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24绍兴柯桥PPN001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20,250,551.78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6.99%</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252963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23溧开06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17,000,000.00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17,618,884.09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6.08%</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251785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23吴城01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10,518,041.56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3.63%</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3.4 报告期末资产组合流动性风险分析</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流动性资产市值（元）</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产品资产净值（元）</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16,723,488.67</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289,519,410.17</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5.78%</w:t>
            </w:r>
          </w:p>
        </w:tc>
        <w:tc>
          <w:tcPr>
     </w:tcPr>
          <w:p>
            <w:pPr>
              <w:pStyle w:val="EMPTY_CELL_STYLE"/>
            </w:pPr>
          </w:p>
        </w:tc>
        <w:tc>
          <w:tcPr>
     </w:tcPr>
          <w:p>
            <w:pPr>
              <w:pStyle w:val="EMPTY_CELL_STYLE"/>
            </w:pPr>
          </w:p>
        </w:tc>
      </w:tr>
      <w:tr>
        <w:trPr>
          <w:trHeight w:hRule="exact" w:val="8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Pr>
          <w:p>
            <w:pPr>
              <w:pStyle w:val="EMPTY_CELL_STYLE"/>
            </w:pPr>
          </w:p>
        </w:tc>
        <w:tc>
          <w:tcPr>
     </w:tcPr>
          <w:p>
            <w:pPr>
              <w:pStyle w:val="EMPTY_CELL_STYLE"/>
            </w:pPr>
          </w:p>
        </w:tc>
      </w:tr>
      <w:tr>
        <w:trPr>
          <w:trHeight w:hRule="exact" w:val="10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4  理财份额投资人信息</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4.1 报告期末现金管理类产品前十大份额投资人情况</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序号</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投资者类别</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持有份额（份）</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占总份额占比（%）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10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5  影响理财份额投资人决策的其他重要信息</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5.1 报告期内单一投资者持有产品份额达到或者超过该产品总份额20%的情形</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6"/>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江苏张家港农村商业银行股份有限公司</w:t>
            </w: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2025年03月31日</w:t>
            </w:r>
          </w:p>
        </w:tc>
        <w:tc>
          <w:tcPr>
     </w:tcPr>
          <w:p>
            <w:pPr>
              <w:pStyle w:val="EMPTY_CELL_STYLE"/>
            </w:pPr>
          </w:p>
        </w:tc>
        <w:tc>
          <w:tcPr>
     </w:tcPr>
          <w:p>
            <w:pPr>
              <w:pStyle w:val="EMPTY_CELL_STYLE"/>
            </w:pPr>
          </w:p>
        </w:tc>
      </w:tr>
    </w:tbl>
    <w:sectPr>
      <w:pgSz w:w="13900" w:h="47280" w:orient="portrait" w:code="4059"/>
      <w:pgMar w:top="0" w:right="0" w:bottom="0" w:left="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

<file path=docProps/app.xml><?xml version="1.0" encoding="utf-8"?>
<Properties xmlns="http://schemas.openxmlformats.org/officeDocument/2006/extended-properties">
  <Application>JasperReports Library version 6.4.3</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coreProperties>
</file>