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png" ContentType="image/png"/>
  <Default Extension="tiff" ContentType="image/tif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
<Relationship Id="rId1" Type="http://schemas.openxmlformats.org/officeDocument/2006/relationships/officeDocument" Target="word/document.xml"/> 
<Relationship Id="rId2" Type="http://schemas.openxmlformats.org/officeDocument/2006/relationships/extended-properties" Target="docProps/app.xml"/>
<Relationship Id="rId3" Type="http://schemas.openxmlformats.org/package/2006/relationships/metadata/core-properties" Target="docProps/core.xml"/>
</Relationships> 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>
  <w:body>
    <w:tbl>
      <w:tblPr>
        <w:tblLayout w:type="fixed"/>
      </w:tblPr>
      <w:tblGrid>
        <w:gridCol w:w="1200"/>
        <w:gridCol w:w="800"/>
        <w:gridCol w:w="2000"/>
        <w:gridCol w:w="400"/>
        <w:gridCol w:w="400"/>
        <w:gridCol w:w="400"/>
        <w:gridCol w:w="20"/>
        <w:gridCol w:w="980"/>
        <w:gridCol w:w="1600"/>
        <w:gridCol w:w="400"/>
        <w:gridCol w:w="400"/>
        <w:gridCol w:w="220"/>
        <w:gridCol w:w="1380"/>
        <w:gridCol w:w="1700"/>
        <w:gridCol w:w="20"/>
        <w:gridCol w:w="1980"/>
      </w:tblGrid>
      <w:tr>
        <w:trPr>
          <w:trHeight w:hRule="exact" w:val="800"/>
        </w:trPr>
        <w:tc>
          <w:tcPr>
     </w:tcPr>
          <w:p>
            <w:pPr>
              <w:pStyle w:val="EMPTY_CELL_STYLE"/>
            </w:pPr>
            <w:bookmarkStart w:id="0" w:name="JR_PAGE_ANCHOR_0_1"/>
            <w:bookmarkEnd w:id="0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8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40"/>
                <w:b w:val="true"/>
              </w:rPr>
              <w:t xml:space="preserve">“金港湾瑞享稳健增利多策略24个月”定期报告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产品管理人：江苏张家港农村商业银行股份有限公司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产品托管人：宁波银行股份有限公司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发布时间：2025年03月31日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1  重要提示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产品的过往业绩并不代表其未来表现。投资有风险，投资者在作出投资决策前应仔细阅读本产品说明书。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本报告中财务资料未经审计。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本报告期自2025年01月01日起至03月31日止。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2  产品概况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0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产品名称</w:t>
            </w:r>
          </w:p>
        </w:tc>
        <w:tc>
          <w:tcPr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金港湾瑞享稳健增利多策略24个月净值型人民币理财产品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产品编码</w:t>
            </w:r>
          </w:p>
        </w:tc>
        <w:tc>
          <w:tcPr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RX24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全国银行业理财信息登记系统编码</w:t>
            </w:r>
          </w:p>
        </w:tc>
        <w:tc>
          <w:tcPr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C1115621000009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产品运作方式</w:t>
            </w:r>
          </w:p>
        </w:tc>
        <w:tc>
          <w:tcPr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开放式净值型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产品类型</w:t>
            </w:r>
          </w:p>
        </w:tc>
        <w:tc>
          <w:tcPr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固定收益类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募集方式</w:t>
            </w:r>
          </w:p>
        </w:tc>
        <w:tc>
          <w:tcPr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公募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报告期末产品份额总额</w:t>
            </w:r>
          </w:p>
        </w:tc>
        <w:tc>
          <w:tcPr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986,929,670.61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报告期末单位净值</w:t>
            </w:r>
          </w:p>
        </w:tc>
        <w:tc>
          <w:tcPr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1.1576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报告期末累计单位净值</w:t>
            </w:r>
          </w:p>
        </w:tc>
        <w:tc>
          <w:tcPr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1.1576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报告期末净值增长率（年化）</w:t>
            </w:r>
          </w:p>
        </w:tc>
        <w:tc>
          <w:tcPr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0.0913%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3  资产组合报告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3.1 报告期末产品资产组合情况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序号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项目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金额（元）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占资产组合比例（%）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固定收益投资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1,244,332,269.78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98.77%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其中:银行间/交易所产品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1,108,898,037.22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88.02%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  其中：回购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非银行间/非交易所产品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135,434,232.56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10.75%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权益投资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12,295,190.38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0.98%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其中：基金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12,295,190.38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0.98%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银行存款合计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3,170,929.90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0.25%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其他资产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合计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1,259,798,390.06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100.00%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3.2 报告期末按债券品种分类的债券投资组合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序号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债券品种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金额（元）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占资产组合比例（%）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国家债券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92,612,301.14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7.35%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央行票据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金融债券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368,965,190.96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29.29%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其中：政策性金融债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181,787,806.16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14.43%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企业债券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626,900,622.11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49.76%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企业短期融资券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6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可转债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7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其他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8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合计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1,088,478,114.21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86.40%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18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3.3 报告期末按市值占产品资产净值比例大小排名前十的资产投资明细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序号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资产代码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资产名称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数量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市值(元)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占产品资产净值比例（％）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1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TL1H                            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华润信托桃李1号单一资金信托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90,586,682.08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109,093,351.00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9.55%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2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242400008       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24江苏银行永续债01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51,581,046.58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4.52%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3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032400762       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24溧水经开PPN003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51,047,526.03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4.47%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4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102482696       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24德清建设MTN002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50,895,209.59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4.45%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5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250205          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25国开05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48,991,710.27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4.29%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6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240006          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24附息国债06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41,217,570.41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3.61%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7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150218          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15国开18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41,205,701.92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3.61%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8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240203          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24国开03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40,977,860.82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3.59%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9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240018          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24附息国债18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40,731,524.38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3.57%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10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2128017         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21中信银行永续债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31,865,378.63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2.79%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3.4 报告期末资产组合流动性风险分析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流动性资产市值（元）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产品资产净值（元）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流动性资产占比（%）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94,989,164.97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1,142,432,318.74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8.31%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2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2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报告期内，产品管理人通过合理安排资产配置结构，保持一定比例的高流动性资产，控制资产久期、杠杆融资比例，管控产品流动性风险。持仓中利率债和中高等级信用债占比较高，对于关键时点的规模变动和资金面波动都有充足的准备，且融资渠道畅通多元，风险总体可控。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08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right"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江苏张家港农村商业银行股份有限公司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right"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2025年03月31日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sectPr>
      <w:pgSz w:w="13900" w:h="39320" w:orient="portrait" w:code="3661"/>
      <w:pgMar w:top="0" w:right="0" w:bottom="0" w:left="0" w:header="0" w:footer="0" w:gutter="0"/>
      <w:docGrid w:linePitch="360"/>
    </w:sectPr>
  </w:body>
</w:document>
</file>

<file path=word/settings.xml><?xml version="1.0" encoding="utf-8"?>
<w:settings xmlns:w="http://schemas.openxmlformats.org/wordprocessingml/2006/main">
  <w:defaultTabStop w:val="8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</w:rPrDefault>
    <w:pPrDefault>
      <w:pPr>
        <w:spacing w:line="240"/>
      </w:pPr>
    </w:pPrDefault>
  </w:docDefaults>
  <w:style w:type="paragraph" w:styleId="EMPTY_CELL_STYLE">
    <w:name w:val="EMPTY_CELL_STYLE"/>
    <w:qFormat/>
    <w:pPr>
      <w:ind/>
    </w:pPr>
    <w:rPr>
      <w:rFonts w:ascii="SansSerif" w:hAnsi="SansSerif" w:eastAsia="SansSerif" w:cs="SansSerif"/>
      <w:color w:val="000000"/>
      <w:sz w:val="1"/>
    </w:rPr>
  </w:style>
</w:styles>
</file>

<file path=word/_rels/document.xml.rels><?xml version="1.0" encoding="UTF-8"?>
<Relationships xmlns="http://schemas.openxmlformats.org/package/2006/relationships">
 <Relationship Id="rId1" Type="http://schemas.openxmlformats.org/officeDocument/2006/relationships/styles" Target="styles.xml"/>
 <Relationship Id="rId2" Type="http://schemas.openxmlformats.org/officeDocument/2006/relationships/settings" Target="settings.xml"/>
</Relationships>

</file>

<file path=docProps/app.xml><?xml version="1.0" encoding="utf-8"?>
<Properties xmlns="http://schemas.openxmlformats.org/officeDocument/2006/extended-properties">
  <Application>JasperReports Library version 6.4.3</Applicat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</coreProperties>
</file>