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sz w:val="28"/>
          <w:szCs w:val="32"/>
          <w:lang w:eastAsia="zh-CN"/>
        </w:rPr>
      </w:pPr>
      <w:r>
        <w:rPr>
          <w:rFonts w:hint="eastAsia" w:ascii="宋体" w:hAnsi="宋体" w:eastAsia="宋体"/>
          <w:sz w:val="28"/>
          <w:szCs w:val="32"/>
        </w:rPr>
        <w:t>华鑫信托·鑫沪8</w:t>
      </w:r>
      <w:r>
        <w:rPr>
          <w:rFonts w:hint="eastAsia" w:ascii="宋体" w:hAnsi="宋体" w:eastAsia="宋体"/>
          <w:sz w:val="28"/>
          <w:szCs w:val="32"/>
          <w:lang w:val="en-US" w:eastAsia="zh-CN"/>
        </w:rPr>
        <w:t>77</w:t>
      </w:r>
      <w:r>
        <w:rPr>
          <w:rFonts w:hint="eastAsia" w:ascii="宋体" w:hAnsi="宋体" w:eastAsia="宋体"/>
          <w:sz w:val="28"/>
          <w:szCs w:val="32"/>
        </w:rPr>
        <w:t>号集合资金信托计划要素</w:t>
      </w:r>
      <w:r>
        <w:rPr>
          <w:rFonts w:hint="eastAsia" w:ascii="宋体" w:hAnsi="宋体" w:eastAsia="宋体"/>
          <w:sz w:val="28"/>
          <w:szCs w:val="32"/>
          <w:lang w:eastAsia="zh-CN"/>
        </w:rPr>
        <w:t>表</w:t>
      </w:r>
    </w:p>
    <w:p>
      <w:pPr>
        <w:spacing w:line="360" w:lineRule="auto"/>
        <w:rPr>
          <w:rFonts w:ascii="宋体" w:hAnsi="宋体" w:eastAsia="宋体"/>
        </w:rPr>
      </w:pP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607"/>
        <w:gridCol w:w="283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产品名称、</w:t>
            </w:r>
          </w:p>
          <w:p>
            <w:pPr>
              <w:spacing w:line="360" w:lineRule="auto"/>
              <w:jc w:val="left"/>
            </w:pPr>
            <w:r>
              <w:rPr>
                <w:rFonts w:hint="eastAsia" w:ascii="宋体" w:hAnsi="宋体" w:eastAsia="宋体"/>
                <w:sz w:val="24"/>
                <w:szCs w:val="24"/>
                <w:lang w:eastAsia="zh-CN"/>
              </w:rPr>
              <w:t>登记</w:t>
            </w:r>
            <w:r>
              <w:rPr>
                <w:rFonts w:hint="eastAsia" w:ascii="宋体" w:hAnsi="宋体" w:eastAsia="宋体"/>
                <w:sz w:val="24"/>
                <w:szCs w:val="24"/>
              </w:rPr>
              <w:t>编码</w:t>
            </w:r>
          </w:p>
        </w:tc>
        <w:tc>
          <w:tcPr>
            <w:tcW w:w="6222" w:type="dxa"/>
            <w:gridSpan w:val="3"/>
            <w:vAlign w:val="top"/>
          </w:tcPr>
          <w:p>
            <w:pPr>
              <w:spacing w:line="360" w:lineRule="auto"/>
              <w:rPr>
                <w:rFonts w:hint="eastAsia" w:ascii="宋体" w:hAnsi="宋体" w:eastAsia="宋体"/>
                <w:sz w:val="24"/>
                <w:szCs w:val="24"/>
              </w:rPr>
            </w:pPr>
            <w:r>
              <w:rPr>
                <w:rFonts w:hint="eastAsia" w:ascii="宋体" w:hAnsi="宋体" w:eastAsia="宋体"/>
                <w:sz w:val="24"/>
                <w:szCs w:val="24"/>
              </w:rPr>
              <w:t>产品名称：华鑫信托·鑫沪8</w:t>
            </w:r>
            <w:r>
              <w:rPr>
                <w:rFonts w:hint="eastAsia" w:ascii="宋体" w:hAnsi="宋体" w:eastAsia="宋体"/>
                <w:sz w:val="24"/>
                <w:szCs w:val="24"/>
                <w:lang w:val="en-US" w:eastAsia="zh-CN"/>
              </w:rPr>
              <w:t>77</w:t>
            </w:r>
            <w:r>
              <w:rPr>
                <w:rFonts w:hint="eastAsia" w:ascii="宋体" w:hAnsi="宋体" w:eastAsia="宋体"/>
                <w:sz w:val="24"/>
                <w:szCs w:val="24"/>
              </w:rPr>
              <w:t>号集合资金信托计划</w:t>
            </w:r>
          </w:p>
          <w:p>
            <w:pPr>
              <w:spacing w:line="360" w:lineRule="auto"/>
              <w:rPr>
                <w:rFonts w:hint="default" w:ascii="宋体" w:hAnsi="宋体" w:eastAsia="宋体"/>
                <w:sz w:val="24"/>
                <w:szCs w:val="24"/>
                <w:lang w:val="en-US"/>
              </w:rPr>
            </w:pPr>
            <w:bookmarkStart w:id="0" w:name="_GoBack"/>
            <w:bookmarkEnd w:id="0"/>
            <w:r>
              <w:rPr>
                <w:rFonts w:hint="eastAsia" w:ascii="宋体" w:hAnsi="宋体" w:eastAsia="宋体"/>
                <w:sz w:val="24"/>
                <w:szCs w:val="24"/>
              </w:rPr>
              <w:t>信托登记编码：ZXD202504140000005624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产品类型</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napToGrid w:val="0"/>
                <w:kern w:val="0"/>
                <w:sz w:val="24"/>
                <w:szCs w:val="24"/>
              </w:rPr>
              <w:t>固定收益类集合资金信托计划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风险等级</w:t>
            </w:r>
          </w:p>
        </w:tc>
        <w:tc>
          <w:tcPr>
            <w:tcW w:w="1607"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c>
          <w:tcPr>
            <w:tcW w:w="2835" w:type="dxa"/>
            <w:vAlign w:val="top"/>
          </w:tcPr>
          <w:p>
            <w:pPr>
              <w:spacing w:line="360" w:lineRule="auto"/>
              <w:rPr>
                <w:rFonts w:ascii="宋体" w:hAnsi="宋体" w:eastAsia="宋体"/>
                <w:sz w:val="24"/>
                <w:szCs w:val="24"/>
              </w:rPr>
            </w:pPr>
            <w:r>
              <w:rPr>
                <w:rFonts w:hint="eastAsia" w:ascii="宋体" w:hAnsi="宋体" w:eastAsia="宋体"/>
                <w:sz w:val="24"/>
                <w:szCs w:val="24"/>
              </w:rPr>
              <w:t>信托公司内部风险等级</w:t>
            </w:r>
          </w:p>
        </w:tc>
        <w:tc>
          <w:tcPr>
            <w:tcW w:w="1780"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受托管理人</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val="en-US" w:eastAsia="zh-CN"/>
              </w:rPr>
              <w:t>华鑫</w:t>
            </w:r>
            <w:r>
              <w:rPr>
                <w:rFonts w:hint="eastAsia" w:ascii="宋体" w:hAnsi="宋体" w:eastAsia="宋体"/>
                <w:sz w:val="24"/>
                <w:szCs w:val="24"/>
                <w:lang w:eastAsia="zh-CN"/>
              </w:rPr>
              <w:t>国际信托有限公司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存续期限</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投资范围</w:t>
            </w:r>
          </w:p>
        </w:tc>
        <w:tc>
          <w:tcPr>
            <w:tcW w:w="6222" w:type="dxa"/>
            <w:gridSpan w:val="3"/>
            <w:vAlign w:val="top"/>
          </w:tcPr>
          <w:p>
            <w:pPr>
              <w:pStyle w:val="8"/>
              <w:numPr>
                <w:ilvl w:val="0"/>
                <w:numId w:val="0"/>
              </w:numPr>
              <w:spacing w:line="360" w:lineRule="auto"/>
              <w:ind w:leftChars="0"/>
              <w:rPr>
                <w:rFonts w:ascii="宋体" w:hAnsi="宋体" w:eastAsia="宋体"/>
                <w:sz w:val="24"/>
                <w:szCs w:val="24"/>
              </w:rPr>
            </w:pPr>
            <w:r>
              <w:rPr>
                <w:rFonts w:hint="eastAsia" w:ascii="宋体" w:hAnsi="宋体" w:eastAsia="宋体"/>
                <w:sz w:val="24"/>
                <w:szCs w:val="24"/>
              </w:rPr>
              <w:t>向江苏武进太湖湾旅游发展有限公司发放信托贷款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增信措施</w:t>
            </w:r>
          </w:p>
        </w:tc>
        <w:tc>
          <w:tcPr>
            <w:tcW w:w="6222" w:type="dxa"/>
            <w:gridSpan w:val="3"/>
            <w:vAlign w:val="top"/>
          </w:tcPr>
          <w:p>
            <w:pPr>
              <w:spacing w:line="360" w:lineRule="auto"/>
              <w:rPr>
                <w:rFonts w:hint="default" w:ascii="宋体" w:hAnsi="宋体" w:eastAsia="宋体"/>
                <w:sz w:val="24"/>
                <w:szCs w:val="24"/>
                <w:lang w:val="en-US" w:eastAsia="zh-CN"/>
              </w:rPr>
            </w:pPr>
            <w:r>
              <w:rPr>
                <w:rFonts w:hint="default" w:ascii="宋体" w:hAnsi="宋体" w:eastAsia="宋体"/>
                <w:sz w:val="24"/>
                <w:szCs w:val="24"/>
                <w:lang w:val="en-US" w:eastAsia="zh-CN"/>
              </w:rPr>
              <w:t>常州市武进建设资产经营有限公司提供不可撤销的连带责任保证担保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投资起点</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人民币1</w:t>
            </w:r>
            <w:r>
              <w:rPr>
                <w:rFonts w:ascii="宋体" w:hAnsi="宋体" w:eastAsia="宋体"/>
                <w:sz w:val="24"/>
                <w:szCs w:val="24"/>
              </w:rPr>
              <w:t>00</w:t>
            </w:r>
            <w:r>
              <w:rPr>
                <w:rFonts w:hint="eastAsia" w:ascii="宋体" w:hAnsi="宋体" w:eastAsia="宋体"/>
                <w:sz w:val="24"/>
                <w:szCs w:val="24"/>
              </w:rPr>
              <w:t>万元起，并以1</w:t>
            </w:r>
            <w:r>
              <w:rPr>
                <w:rFonts w:ascii="宋体" w:hAnsi="宋体" w:eastAsia="宋体"/>
                <w:sz w:val="24"/>
                <w:szCs w:val="24"/>
              </w:rPr>
              <w:t>0</w:t>
            </w:r>
            <w:r>
              <w:rPr>
                <w:rFonts w:hint="eastAsia" w:ascii="宋体" w:hAnsi="宋体" w:eastAsia="宋体"/>
                <w:sz w:val="24"/>
                <w:szCs w:val="24"/>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业绩基准</w:t>
            </w:r>
          </w:p>
        </w:tc>
        <w:tc>
          <w:tcPr>
            <w:tcW w:w="6222" w:type="dxa"/>
            <w:gridSpan w:val="3"/>
            <w:vAlign w:val="top"/>
          </w:tcPr>
          <w:p>
            <w:pPr>
              <w:numPr>
                <w:ilvl w:val="0"/>
                <w:numId w:val="0"/>
              </w:numPr>
              <w:spacing w:line="360" w:lineRule="auto"/>
              <w:rPr>
                <w:rFonts w:hint="eastAsia" w:ascii="宋体" w:hAnsi="宋体" w:eastAsia="宋体"/>
                <w:sz w:val="24"/>
                <w:szCs w:val="24"/>
                <w:highlight w:val="yellow"/>
                <w:lang w:val="en-US" w:eastAsia="zh-CN"/>
              </w:rPr>
            </w:pPr>
            <w:r>
              <w:rPr>
                <w:rFonts w:hint="eastAsia" w:ascii="宋体" w:hAnsi="宋体" w:eastAsia="宋体"/>
                <w:sz w:val="24"/>
                <w:szCs w:val="24"/>
                <w:highlight w:val="none"/>
                <w:lang w:val="en-US" w:eastAsia="zh-CN"/>
              </w:rPr>
              <w:t>3.1%/年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代销规模</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本期不超过10000</w:t>
            </w:r>
            <w:r>
              <w:rPr>
                <w:rFonts w:hint="eastAsia" w:ascii="宋体" w:hAnsi="宋体" w:eastAsia="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退出方式</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到期退出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投资者费用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无认购、申购、到期赎回费用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推荐部门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eastAsia="zh-CN"/>
              </w:rPr>
              <w:t>资产管理</w:t>
            </w:r>
            <w:r>
              <w:rPr>
                <w:rFonts w:hint="eastAsia" w:ascii="宋体" w:hAnsi="宋体" w:eastAsia="宋体"/>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时间安排</w:t>
            </w:r>
          </w:p>
        </w:tc>
        <w:tc>
          <w:tcPr>
            <w:tcW w:w="6222" w:type="dxa"/>
            <w:gridSpan w:val="3"/>
            <w:vAlign w:val="top"/>
          </w:tcPr>
          <w:p>
            <w:pPr>
              <w:spacing w:line="360" w:lineRule="auto"/>
              <w:rPr>
                <w:rFonts w:ascii="宋体" w:hAnsi="宋体" w:eastAsia="宋体"/>
                <w:sz w:val="24"/>
                <w:szCs w:val="24"/>
                <w:highlight w:val="none"/>
              </w:rPr>
            </w:pPr>
            <w:r>
              <w:rPr>
                <w:rFonts w:hint="eastAsia" w:ascii="宋体" w:hAnsi="宋体" w:eastAsia="宋体"/>
                <w:sz w:val="24"/>
                <w:szCs w:val="24"/>
                <w:highlight w:val="none"/>
              </w:rPr>
              <w:t>募集期：2</w:t>
            </w:r>
            <w:r>
              <w:rPr>
                <w:rFonts w:ascii="宋体" w:hAnsi="宋体" w:eastAsia="宋体"/>
                <w:sz w:val="24"/>
                <w:szCs w:val="24"/>
                <w:highlight w:val="none"/>
              </w:rPr>
              <w:t>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日</w:t>
            </w:r>
            <w:r>
              <w:rPr>
                <w:rFonts w:hint="eastAsia" w:ascii="宋体" w:hAnsi="宋体" w:eastAsia="宋体"/>
                <w:sz w:val="24"/>
                <w:szCs w:val="24"/>
                <w:highlight w:val="none"/>
                <w:lang w:val="en-US" w:eastAsia="zh-CN"/>
              </w:rPr>
              <w:t>-6日</w:t>
            </w:r>
            <w:r>
              <w:rPr>
                <w:rFonts w:hint="eastAsia" w:ascii="宋体" w:hAnsi="宋体" w:eastAsia="宋体"/>
                <w:sz w:val="24"/>
                <w:szCs w:val="24"/>
                <w:highlight w:val="none"/>
              </w:rPr>
              <w:t>；</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冷静期：2</w:t>
            </w:r>
            <w:r>
              <w:rPr>
                <w:rFonts w:ascii="宋体" w:hAnsi="宋体" w:eastAsia="宋体"/>
                <w:sz w:val="24"/>
                <w:szCs w:val="24"/>
                <w:highlight w:val="none"/>
              </w:rPr>
              <w:t>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起息日：2</w:t>
            </w:r>
            <w:r>
              <w:rPr>
                <w:rFonts w:ascii="宋体" w:hAnsi="宋体" w:eastAsia="宋体"/>
                <w:sz w:val="24"/>
                <w:szCs w:val="24"/>
                <w:highlight w:val="none"/>
              </w:rPr>
              <w:t>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到期日：2</w:t>
            </w:r>
            <w:r>
              <w:rPr>
                <w:rFonts w:ascii="宋体" w:hAnsi="宋体" w:eastAsia="宋体"/>
                <w:sz w:val="24"/>
                <w:szCs w:val="24"/>
                <w:highlight w:val="none"/>
              </w:rPr>
              <w:t>02</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日</w:t>
            </w:r>
          </w:p>
          <w:p>
            <w:pPr>
              <w:spacing w:line="360" w:lineRule="auto"/>
              <w:rPr>
                <w:rFonts w:ascii="宋体" w:hAnsi="宋体" w:eastAsia="宋体"/>
                <w:sz w:val="24"/>
                <w:szCs w:val="24"/>
              </w:rPr>
            </w:pPr>
            <w:r>
              <w:rPr>
                <w:rFonts w:hint="eastAsia" w:ascii="宋体" w:hAnsi="宋体" w:eastAsia="宋体"/>
                <w:sz w:val="24"/>
                <w:szCs w:val="24"/>
              </w:rPr>
              <w:t>（根据发行情况调整，以发行前要素为准</w:t>
            </w:r>
            <w:r>
              <w:rPr>
                <w:rFonts w:hint="eastAsia" w:ascii="宋体" w:hAnsi="宋体" w:eastAsia="宋体"/>
                <w:sz w:val="24"/>
                <w:szCs w:val="24"/>
                <w:lang w:eastAsia="zh-CN"/>
              </w:rPr>
              <w:t>，到期日遇节假日顺延</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备注</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无</w:t>
            </w:r>
          </w:p>
        </w:tc>
      </w:tr>
    </w:tbl>
    <w:p>
      <w:pPr>
        <w:spacing w:line="360" w:lineRule="auto"/>
        <w:ind w:firstLine="420" w:firstLineChars="200"/>
        <w:rPr>
          <w:rFonts w:ascii="宋体" w:hAnsi="宋体" w:eastAsia="宋体"/>
        </w:rPr>
      </w:pPr>
      <w:r>
        <w:rPr>
          <w:rFonts w:hint="eastAsia" w:ascii="宋体" w:hAnsi="宋体" w:eastAsia="宋体"/>
        </w:rPr>
        <w:t>提示：本产品由</w:t>
      </w:r>
      <w:r>
        <w:rPr>
          <w:rFonts w:hint="eastAsia" w:ascii="宋体" w:hAnsi="宋体" w:eastAsia="宋体"/>
          <w:lang w:val="en-US" w:eastAsia="zh-CN"/>
        </w:rPr>
        <w:t>华鑫</w:t>
      </w:r>
      <w:r>
        <w:rPr>
          <w:rFonts w:hint="eastAsia" w:ascii="宋体" w:hAnsi="宋体" w:eastAsia="宋体"/>
          <w:lang w:eastAsia="zh-CN"/>
        </w:rPr>
        <w:t>国际信托有限公司</w:t>
      </w:r>
      <w:r>
        <w:rPr>
          <w:rFonts w:hint="eastAsia" w:ascii="宋体" w:hAnsi="宋体" w:eastAsia="宋体"/>
          <w:sz w:val="21"/>
          <w:szCs w:val="21"/>
        </w:rPr>
        <w:t>发</w:t>
      </w:r>
      <w:r>
        <w:rPr>
          <w:rFonts w:hint="eastAsia" w:ascii="宋体" w:hAnsi="宋体" w:eastAsia="宋体"/>
        </w:rPr>
        <w:t>行与管理，张家港农商行作为代销机构不承担产品的投资、兑付和风险管理责任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6DD5"/>
    <w:rsid w:val="0B0B2C35"/>
    <w:rsid w:val="161D32AB"/>
    <w:rsid w:val="26721CE7"/>
    <w:rsid w:val="3B2E3FDA"/>
    <w:rsid w:val="3E2D50E9"/>
    <w:rsid w:val="44FA2A29"/>
    <w:rsid w:val="46807FFC"/>
    <w:rsid w:val="47DB1BFB"/>
    <w:rsid w:val="4F9D0C5F"/>
    <w:rsid w:val="52A1449A"/>
    <w:rsid w:val="5786402B"/>
    <w:rsid w:val="58C9604D"/>
    <w:rsid w:val="5C1879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黑体"/>
      <w:kern w:val="2"/>
      <w:sz w:val="21"/>
      <w:szCs w:val="22"/>
      <w:lang w:val="en-US" w:eastAsia="zh-CN" w:bidi="ar-SA"/>
    </w:rPr>
  </w:style>
  <w:style w:type="character" w:default="1" w:styleId="6">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1"/>
      <w:ind w:left="120"/>
    </w:pPr>
    <w:rPr>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8">
    <w:name w:val="List Paragraph"/>
    <w:basedOn w:val="1"/>
    <w:qFormat/>
    <w:uiPriority w:val="0"/>
    <w:pPr>
      <w:ind w:firstLine="420" w:firstLineChars="200"/>
    </w:pPr>
  </w:style>
  <w:style w:type="paragraph" w:customStyle="1" w:styleId="9">
    <w:name w:val="Normal (Web)"/>
    <w:basedOn w:val="1"/>
    <w:qFormat/>
    <w:uiPriority w:val="0"/>
    <w:pPr>
      <w:spacing w:before="75" w:beforeAutospacing="0" w:after="75" w:afterAutospacing="0"/>
      <w:ind w:left="0" w:right="0"/>
      <w:jc w:val="left"/>
    </w:pPr>
    <w:rPr>
      <w:kern w:val="0"/>
      <w:sz w:val="24"/>
      <w:lang w:val="en-US" w:eastAsia="zh-CN"/>
    </w:rPr>
  </w:style>
  <w:style w:type="character" w:customStyle="1" w:styleId="10">
    <w:name w:val="页眉 字符"/>
    <w:basedOn w:val="6"/>
    <w:link w:val="4"/>
    <w:semiHidden/>
    <w:qFormat/>
    <w:uiPriority w:val="0"/>
    <w:rPr>
      <w:sz w:val="18"/>
      <w:szCs w:val="18"/>
    </w:rPr>
  </w:style>
  <w:style w:type="character" w:customStyle="1" w:styleId="11">
    <w:name w:val="页脚 字符"/>
    <w:basedOn w:val="6"/>
    <w:link w:val="3"/>
    <w:semiHidden/>
    <w:qFormat/>
    <w:uiPriority w:val="0"/>
    <w:rPr>
      <w:sz w:val="18"/>
      <w:szCs w:val="18"/>
    </w:rPr>
  </w:style>
  <w:style w:type="character" w:customStyle="1" w:styleId="12">
    <w:name w:val="page number"/>
    <w:qFormat/>
    <w:uiPriority w:val="0"/>
    <w:rPr>
      <w:rFonts w:ascii="Times New Roman" w:hAnsi="Times New Roman"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2023-05-26T06:46:00Z</dcterms:created>
  <dc:creator>岳 Young Yue</dc:creator>
  <cp:lastModifiedBy>zrc</cp:lastModifiedBy>
  <cp:lastPrinted>2024-07-09T17:17:00Z</cp:lastPrinted>
  <dcterms:modified xsi:type="dcterms:W3CDTF">2025-07-28T03:26:58Z</dcterms:modified>
  <dc:title>zrcbank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5B1A785338FD4EE4A2E24170AAE03BE6</vt:lpwstr>
  </property>
</Properties>
</file>