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200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1980"/>
      </w:tblGrid>
      <w:tr>
        <w:trPr>
          <w:trHeight w:hRule="exact" w:val="80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40"/>
                <w:b w:val="true"/>
              </w:rPr>
              <w:t xml:space="preserve">“金港湾瑞享3号”定期报告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产品管理人：江苏张家港农村商业银行股份有限公司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产品托管人：宁波银行股份有限公司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发布时间：2025年06月30日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1  重要提示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本报告期自2025年01月01日起至06月30日止。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2  产品概况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产品名称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金港湾瑞享3号净值型人民币理财产品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产品编码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RX03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全国银行业理财信息登记系统编码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C1115621000005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产品运作方式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开放式净值型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产品类型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固定收益类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募集方式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公募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报告期末产品份额总额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302,122,721.98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报告期末单位净值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1.2044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报告期末累计单位净值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1.2044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报告期末净值增长率（年化）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2.6315%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3  资产组合报告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3.1 报告期末产品资产组合情况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项目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固定收益投资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374,739,288.96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99.94%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其中:银行间/交易所产品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282,422,615.44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75.32%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92,316,673.52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24.62%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银行存款合计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237,164.26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0.06%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其他资产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374,976,453.22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 报告期末按债券品种分类的债券投资组合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债券品种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国家债券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央行票据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金融债券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61,553,445.08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16.42%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其中：政策性金融债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30,378,757.68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8.10%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企业债券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220,869,170.36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58.90%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企业短期融资券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可转债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282,422,615.44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75.32%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1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 报告期末按市值占产品资产净值比例大小排名前十的资产投资明细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资产代码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资产名称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数量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市值(元)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占产品资产净值比例（％）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TL1H                    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华润信托桃李1号单一资金信托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75,815,795.50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92,316,673.52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25.37%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2028023 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20招商银行永续债01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31,174,687.40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8.57%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032200278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22绍兴柯桥PPN001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30,750,981.99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8.45%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032280767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22金开国控PPN001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20,676,449.59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5.68%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032280829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22宜兴经开PPN001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20,615,518.36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5.67%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032280130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22长兴城投PPN001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20,601,633.70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5.66%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240314  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24进出14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20,176,843.84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5.55%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114650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23诸城01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10,469,832.58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2.88%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178060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21余投01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10,382,801.10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2.85%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185922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22建租05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10,365,418.90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2.85%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3.4 报告期末资产组合流动性风险分析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流动性资产市值（元）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产品资产净值（元）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流动性资产占比（%）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30,615,921.94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363,861,931.36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8.41%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2025年06月30日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3900" w:h="38480" w:orient="portrait" w:code="3619"/>
      <w:pgMar w:top="0" w:right="0" w:bottom="0" w:left="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6.4.3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