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04030">
      <w:pPr>
        <w:spacing w:line="360" w:lineRule="auto"/>
        <w:jc w:val="center"/>
        <w:rPr>
          <w:rFonts w:hint="eastAsia" w:ascii="宋体" w:hAnsi="宋体" w:eastAsia="宋体"/>
          <w:sz w:val="28"/>
          <w:szCs w:val="32"/>
          <w:lang w:eastAsia="zh-CN"/>
        </w:rPr>
      </w:pPr>
      <w:r>
        <w:rPr>
          <w:rFonts w:hint="eastAsia" w:ascii="宋体" w:hAnsi="宋体" w:eastAsia="宋体"/>
          <w:sz w:val="28"/>
          <w:szCs w:val="32"/>
          <w:lang w:val="en-US" w:eastAsia="zh-CN"/>
        </w:rPr>
        <w:t>厦门</w:t>
      </w:r>
      <w:r>
        <w:rPr>
          <w:rFonts w:hint="eastAsia" w:ascii="宋体" w:hAnsi="宋体" w:eastAsia="宋体"/>
          <w:sz w:val="28"/>
          <w:szCs w:val="32"/>
        </w:rPr>
        <w:t>信托·</w:t>
      </w:r>
      <w:r>
        <w:rPr>
          <w:rFonts w:hint="eastAsia" w:ascii="宋体" w:hAnsi="宋体" w:eastAsia="宋体"/>
          <w:sz w:val="28"/>
          <w:szCs w:val="32"/>
          <w:lang w:val="en-US" w:eastAsia="zh-CN"/>
        </w:rPr>
        <w:t>东台文旅集合资金信托计划</w:t>
      </w:r>
      <w:r>
        <w:rPr>
          <w:rFonts w:hint="eastAsia" w:ascii="宋体" w:hAnsi="宋体" w:eastAsia="宋体"/>
          <w:sz w:val="28"/>
          <w:szCs w:val="32"/>
        </w:rPr>
        <w:t>要素</w:t>
      </w:r>
      <w:r>
        <w:rPr>
          <w:rFonts w:hint="eastAsia" w:ascii="宋体" w:hAnsi="宋体" w:eastAsia="宋体"/>
          <w:sz w:val="28"/>
          <w:szCs w:val="32"/>
          <w:lang w:eastAsia="zh-CN"/>
        </w:rPr>
        <w:t>表</w:t>
      </w:r>
    </w:p>
    <w:p w14:paraId="33E35DFB">
      <w:pPr>
        <w:spacing w:line="360" w:lineRule="auto"/>
        <w:rPr>
          <w:rFonts w:ascii="宋体" w:hAnsi="宋体" w:eastAsia="宋体"/>
        </w:rPr>
      </w:pP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607"/>
        <w:gridCol w:w="2835"/>
        <w:gridCol w:w="1780"/>
      </w:tblGrid>
      <w:tr w14:paraId="1B0A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vAlign w:val="center"/>
          </w:tcPr>
          <w:p w14:paraId="35753F2E">
            <w:pPr>
              <w:spacing w:line="360" w:lineRule="auto"/>
              <w:jc w:val="left"/>
              <w:rPr>
                <w:rFonts w:hint="eastAsia" w:ascii="宋体" w:hAnsi="宋体" w:eastAsia="宋体"/>
                <w:sz w:val="24"/>
                <w:szCs w:val="24"/>
              </w:rPr>
            </w:pPr>
            <w:r>
              <w:rPr>
                <w:rFonts w:hint="eastAsia" w:ascii="宋体" w:hAnsi="宋体" w:eastAsia="宋体"/>
                <w:sz w:val="24"/>
                <w:szCs w:val="24"/>
              </w:rPr>
              <w:t>产品名称、</w:t>
            </w:r>
          </w:p>
          <w:p w14:paraId="08A12014">
            <w:pPr>
              <w:spacing w:line="360" w:lineRule="auto"/>
              <w:jc w:val="left"/>
            </w:pPr>
            <w:r>
              <w:rPr>
                <w:rFonts w:hint="eastAsia" w:ascii="宋体" w:hAnsi="宋体" w:eastAsia="宋体"/>
                <w:sz w:val="24"/>
                <w:szCs w:val="24"/>
                <w:lang w:eastAsia="zh-CN"/>
              </w:rPr>
              <w:t>登记</w:t>
            </w:r>
            <w:r>
              <w:rPr>
                <w:rFonts w:hint="eastAsia" w:ascii="宋体" w:hAnsi="宋体" w:eastAsia="宋体"/>
                <w:sz w:val="24"/>
                <w:szCs w:val="24"/>
              </w:rPr>
              <w:t>编码</w:t>
            </w:r>
          </w:p>
        </w:tc>
        <w:tc>
          <w:tcPr>
            <w:tcW w:w="6222" w:type="dxa"/>
            <w:gridSpan w:val="3"/>
            <w:vAlign w:val="top"/>
          </w:tcPr>
          <w:p w14:paraId="4D00E8B4">
            <w:pPr>
              <w:spacing w:line="360" w:lineRule="auto"/>
              <w:rPr>
                <w:rFonts w:hint="eastAsia" w:ascii="宋体" w:hAnsi="宋体" w:eastAsia="宋体"/>
                <w:sz w:val="24"/>
                <w:szCs w:val="24"/>
              </w:rPr>
            </w:pPr>
            <w:r>
              <w:rPr>
                <w:rFonts w:hint="eastAsia" w:ascii="宋体" w:hAnsi="宋体" w:eastAsia="宋体"/>
                <w:sz w:val="24"/>
                <w:szCs w:val="24"/>
              </w:rPr>
              <w:t>产品名称：</w:t>
            </w:r>
            <w:r>
              <w:rPr>
                <w:rFonts w:hint="eastAsia" w:ascii="宋体" w:hAnsi="宋体" w:eastAsia="宋体"/>
                <w:sz w:val="24"/>
                <w:szCs w:val="24"/>
                <w:lang w:val="en-US" w:eastAsia="zh-CN"/>
              </w:rPr>
              <w:t>厦门</w:t>
            </w:r>
            <w:r>
              <w:rPr>
                <w:rFonts w:hint="eastAsia" w:ascii="宋体" w:hAnsi="宋体" w:eastAsia="宋体"/>
                <w:sz w:val="24"/>
                <w:szCs w:val="24"/>
              </w:rPr>
              <w:t>信托·</w:t>
            </w:r>
            <w:r>
              <w:rPr>
                <w:rFonts w:hint="eastAsia" w:ascii="宋体" w:hAnsi="宋体" w:eastAsia="宋体"/>
                <w:sz w:val="24"/>
                <w:szCs w:val="24"/>
                <w:lang w:val="en-US" w:eastAsia="zh-CN"/>
              </w:rPr>
              <w:t>东台文旅集合资金信托计划</w:t>
            </w:r>
          </w:p>
          <w:p w14:paraId="41C9C025">
            <w:pPr>
              <w:spacing w:line="360" w:lineRule="auto"/>
              <w:rPr>
                <w:rFonts w:hint="default" w:ascii="宋体" w:hAnsi="宋体" w:eastAsia="宋体"/>
                <w:sz w:val="24"/>
                <w:szCs w:val="24"/>
                <w:lang w:val="en-US"/>
              </w:rPr>
            </w:pPr>
            <w:r>
              <w:rPr>
                <w:rFonts w:hint="eastAsia" w:ascii="宋体" w:hAnsi="宋体" w:eastAsia="宋体"/>
                <w:sz w:val="24"/>
                <w:szCs w:val="24"/>
              </w:rPr>
              <w:t>信托登记编码：ZXD202508270000016094</w:t>
            </w:r>
          </w:p>
        </w:tc>
      </w:tr>
      <w:tr w14:paraId="55D3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3CBC7BDC">
            <w:pPr>
              <w:spacing w:line="360" w:lineRule="auto"/>
              <w:jc w:val="left"/>
              <w:rPr>
                <w:rFonts w:ascii="宋体" w:hAnsi="宋体" w:eastAsia="宋体"/>
                <w:sz w:val="24"/>
                <w:szCs w:val="24"/>
              </w:rPr>
            </w:pPr>
            <w:r>
              <w:rPr>
                <w:rFonts w:hint="eastAsia" w:ascii="宋体" w:hAnsi="宋体" w:eastAsia="宋体"/>
                <w:sz w:val="24"/>
                <w:szCs w:val="24"/>
              </w:rPr>
              <w:t>产品类型</w:t>
            </w:r>
          </w:p>
        </w:tc>
        <w:tc>
          <w:tcPr>
            <w:tcW w:w="6222" w:type="dxa"/>
            <w:gridSpan w:val="3"/>
            <w:vAlign w:val="top"/>
          </w:tcPr>
          <w:p w14:paraId="441DFF86">
            <w:pPr>
              <w:spacing w:line="360" w:lineRule="auto"/>
              <w:rPr>
                <w:rFonts w:ascii="宋体" w:hAnsi="宋体" w:eastAsia="宋体"/>
                <w:sz w:val="24"/>
                <w:szCs w:val="24"/>
              </w:rPr>
            </w:pPr>
            <w:r>
              <w:rPr>
                <w:rFonts w:hint="eastAsia" w:ascii="宋体" w:hAnsi="宋体" w:eastAsia="宋体"/>
                <w:snapToGrid w:val="0"/>
                <w:kern w:val="0"/>
                <w:sz w:val="24"/>
                <w:szCs w:val="24"/>
              </w:rPr>
              <w:t>固定收益类集合资金信托计划</w:t>
            </w:r>
          </w:p>
        </w:tc>
      </w:tr>
      <w:tr w14:paraId="544E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03585F31">
            <w:pPr>
              <w:spacing w:line="360" w:lineRule="auto"/>
              <w:jc w:val="left"/>
              <w:rPr>
                <w:rFonts w:ascii="宋体" w:hAnsi="宋体" w:eastAsia="宋体"/>
                <w:sz w:val="24"/>
                <w:szCs w:val="24"/>
              </w:rPr>
            </w:pPr>
            <w:r>
              <w:rPr>
                <w:rFonts w:hint="eastAsia" w:ascii="宋体" w:hAnsi="宋体" w:eastAsia="宋体"/>
                <w:sz w:val="24"/>
                <w:szCs w:val="24"/>
              </w:rPr>
              <w:t>风险等级</w:t>
            </w:r>
          </w:p>
        </w:tc>
        <w:tc>
          <w:tcPr>
            <w:tcW w:w="1607" w:type="dxa"/>
            <w:vAlign w:val="top"/>
          </w:tcPr>
          <w:p w14:paraId="2E3C0F8F">
            <w:pPr>
              <w:spacing w:line="360" w:lineRule="auto"/>
              <w:rPr>
                <w:rFonts w:ascii="宋体" w:hAnsi="宋体" w:eastAsia="宋体"/>
                <w:sz w:val="24"/>
                <w:szCs w:val="24"/>
              </w:rPr>
            </w:pPr>
            <w:r>
              <w:rPr>
                <w:rFonts w:hint="eastAsia" w:ascii="宋体" w:hAnsi="宋体" w:eastAsia="宋体"/>
                <w:sz w:val="24"/>
                <w:szCs w:val="24"/>
              </w:rPr>
              <w:t>R</w:t>
            </w:r>
            <w:r>
              <w:rPr>
                <w:rFonts w:ascii="宋体" w:hAnsi="宋体" w:eastAsia="宋体"/>
                <w:sz w:val="24"/>
                <w:szCs w:val="24"/>
              </w:rPr>
              <w:t>3</w:t>
            </w:r>
            <w:r>
              <w:rPr>
                <w:rFonts w:hint="eastAsia" w:ascii="宋体" w:hAnsi="宋体" w:eastAsia="宋体"/>
                <w:sz w:val="24"/>
                <w:szCs w:val="24"/>
              </w:rPr>
              <w:t>级中风险</w:t>
            </w:r>
          </w:p>
        </w:tc>
        <w:tc>
          <w:tcPr>
            <w:tcW w:w="2835" w:type="dxa"/>
            <w:vAlign w:val="top"/>
          </w:tcPr>
          <w:p w14:paraId="16144F24">
            <w:pPr>
              <w:spacing w:line="360" w:lineRule="auto"/>
              <w:rPr>
                <w:rFonts w:ascii="宋体" w:hAnsi="宋体" w:eastAsia="宋体"/>
                <w:sz w:val="24"/>
                <w:szCs w:val="24"/>
              </w:rPr>
            </w:pPr>
            <w:r>
              <w:rPr>
                <w:rFonts w:hint="eastAsia" w:ascii="宋体" w:hAnsi="宋体" w:eastAsia="宋体"/>
                <w:sz w:val="24"/>
                <w:szCs w:val="24"/>
              </w:rPr>
              <w:t>信托公司内部风险等级</w:t>
            </w:r>
          </w:p>
        </w:tc>
        <w:tc>
          <w:tcPr>
            <w:tcW w:w="1780" w:type="dxa"/>
            <w:vAlign w:val="top"/>
          </w:tcPr>
          <w:p w14:paraId="7524B233">
            <w:pPr>
              <w:spacing w:line="360" w:lineRule="auto"/>
              <w:rPr>
                <w:rFonts w:ascii="宋体" w:hAnsi="宋体" w:eastAsia="宋体"/>
                <w:sz w:val="24"/>
                <w:szCs w:val="24"/>
              </w:rPr>
            </w:pPr>
            <w:r>
              <w:rPr>
                <w:rFonts w:hint="eastAsia" w:ascii="宋体" w:hAnsi="宋体" w:eastAsia="宋体"/>
                <w:sz w:val="24"/>
                <w:szCs w:val="24"/>
              </w:rPr>
              <w:t>R</w:t>
            </w:r>
            <w:r>
              <w:rPr>
                <w:rFonts w:ascii="宋体" w:hAnsi="宋体" w:eastAsia="宋体"/>
                <w:sz w:val="24"/>
                <w:szCs w:val="24"/>
              </w:rPr>
              <w:t>3</w:t>
            </w:r>
            <w:r>
              <w:rPr>
                <w:rFonts w:hint="eastAsia" w:ascii="宋体" w:hAnsi="宋体" w:eastAsia="宋体"/>
                <w:sz w:val="24"/>
                <w:szCs w:val="24"/>
              </w:rPr>
              <w:t>级中风险</w:t>
            </w:r>
          </w:p>
        </w:tc>
      </w:tr>
      <w:tr w14:paraId="7361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31B91641">
            <w:pPr>
              <w:spacing w:line="360" w:lineRule="auto"/>
              <w:jc w:val="left"/>
              <w:rPr>
                <w:rFonts w:ascii="宋体" w:hAnsi="宋体" w:eastAsia="宋体"/>
                <w:sz w:val="24"/>
                <w:szCs w:val="24"/>
              </w:rPr>
            </w:pPr>
            <w:r>
              <w:rPr>
                <w:rFonts w:hint="eastAsia" w:ascii="宋体" w:hAnsi="宋体" w:eastAsia="宋体"/>
                <w:sz w:val="24"/>
                <w:szCs w:val="24"/>
              </w:rPr>
              <w:t>受托管理人</w:t>
            </w:r>
          </w:p>
        </w:tc>
        <w:tc>
          <w:tcPr>
            <w:tcW w:w="6222" w:type="dxa"/>
            <w:gridSpan w:val="3"/>
            <w:vAlign w:val="top"/>
          </w:tcPr>
          <w:p w14:paraId="638A9FC1">
            <w:pPr>
              <w:spacing w:line="360" w:lineRule="auto"/>
              <w:rPr>
                <w:rFonts w:hint="eastAsia" w:ascii="宋体" w:hAnsi="宋体" w:eastAsia="宋体"/>
                <w:sz w:val="24"/>
                <w:szCs w:val="24"/>
                <w:lang w:eastAsia="zh-CN"/>
              </w:rPr>
            </w:pPr>
            <w:r>
              <w:rPr>
                <w:rFonts w:hint="eastAsia" w:ascii="宋体" w:hAnsi="宋体" w:eastAsia="宋体"/>
                <w:sz w:val="24"/>
                <w:szCs w:val="24"/>
                <w:lang w:val="en-US" w:eastAsia="zh-CN"/>
              </w:rPr>
              <w:t>厦门</w:t>
            </w:r>
            <w:r>
              <w:rPr>
                <w:rFonts w:hint="eastAsia" w:ascii="宋体" w:hAnsi="宋体" w:eastAsia="宋体"/>
                <w:sz w:val="24"/>
                <w:szCs w:val="24"/>
                <w:lang w:eastAsia="zh-CN"/>
              </w:rPr>
              <w:t>国际信托有限公司</w:t>
            </w:r>
          </w:p>
        </w:tc>
      </w:tr>
      <w:tr w14:paraId="2F16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454D9B40">
            <w:pPr>
              <w:spacing w:line="360" w:lineRule="auto"/>
              <w:jc w:val="left"/>
              <w:rPr>
                <w:rFonts w:ascii="宋体" w:hAnsi="宋体" w:eastAsia="宋体"/>
                <w:sz w:val="24"/>
                <w:szCs w:val="24"/>
              </w:rPr>
            </w:pPr>
            <w:r>
              <w:rPr>
                <w:rFonts w:hint="eastAsia" w:ascii="宋体" w:hAnsi="宋体" w:eastAsia="宋体"/>
                <w:sz w:val="24"/>
                <w:szCs w:val="24"/>
              </w:rPr>
              <w:t>存续期限</w:t>
            </w:r>
          </w:p>
        </w:tc>
        <w:tc>
          <w:tcPr>
            <w:tcW w:w="6222" w:type="dxa"/>
            <w:gridSpan w:val="3"/>
            <w:vAlign w:val="top"/>
          </w:tcPr>
          <w:p w14:paraId="5B79EA75">
            <w:pPr>
              <w:spacing w:line="360" w:lineRule="auto"/>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年期</w:t>
            </w:r>
          </w:p>
        </w:tc>
      </w:tr>
      <w:tr w14:paraId="7707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32A5C6AA">
            <w:pPr>
              <w:spacing w:line="360" w:lineRule="auto"/>
              <w:jc w:val="left"/>
              <w:rPr>
                <w:rFonts w:ascii="宋体" w:hAnsi="宋体" w:eastAsia="宋体"/>
                <w:sz w:val="24"/>
                <w:szCs w:val="24"/>
              </w:rPr>
            </w:pPr>
            <w:r>
              <w:rPr>
                <w:rFonts w:hint="eastAsia" w:ascii="宋体" w:hAnsi="宋体" w:eastAsia="宋体"/>
                <w:sz w:val="24"/>
                <w:szCs w:val="24"/>
              </w:rPr>
              <w:t>投资范围</w:t>
            </w:r>
          </w:p>
        </w:tc>
        <w:tc>
          <w:tcPr>
            <w:tcW w:w="6222" w:type="dxa"/>
            <w:gridSpan w:val="3"/>
            <w:vAlign w:val="top"/>
          </w:tcPr>
          <w:p w14:paraId="2121FD96">
            <w:pPr>
              <w:pStyle w:val="9"/>
              <w:numPr>
                <w:ilvl w:val="0"/>
                <w:numId w:val="0"/>
              </w:numPr>
              <w:spacing w:line="360" w:lineRule="auto"/>
              <w:ind w:leftChars="0"/>
              <w:rPr>
                <w:rFonts w:ascii="宋体" w:hAnsi="宋体" w:eastAsia="宋体"/>
                <w:sz w:val="24"/>
                <w:szCs w:val="24"/>
              </w:rPr>
            </w:pPr>
            <w:r>
              <w:rPr>
                <w:rFonts w:hint="eastAsia" w:ascii="宋体" w:hAnsi="宋体" w:eastAsia="宋体"/>
                <w:sz w:val="24"/>
                <w:szCs w:val="24"/>
              </w:rPr>
              <w:t>向</w:t>
            </w:r>
            <w:r>
              <w:rPr>
                <w:rFonts w:hint="eastAsia" w:ascii="宋体" w:hAnsi="宋体" w:eastAsia="宋体"/>
                <w:sz w:val="24"/>
                <w:szCs w:val="24"/>
                <w:lang w:val="en-US" w:eastAsia="zh-CN"/>
              </w:rPr>
              <w:t>东</w:t>
            </w:r>
            <w:r>
              <w:rPr>
                <w:rFonts w:hint="eastAsia" w:ascii="宋体" w:hAnsi="宋体" w:eastAsia="宋体"/>
                <w:sz w:val="24"/>
                <w:szCs w:val="24"/>
              </w:rPr>
              <w:t>台市文化旅游投资发展集团有限公司</w:t>
            </w:r>
            <w:r>
              <w:rPr>
                <w:rFonts w:hint="eastAsia" w:ascii="宋体" w:hAnsi="宋体" w:eastAsia="宋体"/>
                <w:sz w:val="24"/>
                <w:szCs w:val="24"/>
                <w:lang w:val="en-US" w:eastAsia="zh-CN"/>
              </w:rPr>
              <w:t>提供债权投资</w:t>
            </w:r>
            <w:r>
              <w:rPr>
                <w:rFonts w:hint="eastAsia" w:ascii="宋体" w:hAnsi="宋体" w:eastAsia="宋体"/>
                <w:sz w:val="24"/>
                <w:szCs w:val="24"/>
              </w:rPr>
              <w:t>。</w:t>
            </w:r>
          </w:p>
        </w:tc>
      </w:tr>
      <w:tr w14:paraId="793B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2C580C0D">
            <w:pPr>
              <w:spacing w:line="360" w:lineRule="auto"/>
              <w:jc w:val="left"/>
              <w:rPr>
                <w:rFonts w:ascii="宋体" w:hAnsi="宋体" w:eastAsia="宋体"/>
                <w:sz w:val="24"/>
                <w:szCs w:val="24"/>
              </w:rPr>
            </w:pPr>
            <w:r>
              <w:rPr>
                <w:rFonts w:hint="eastAsia" w:ascii="宋体" w:hAnsi="宋体" w:eastAsia="宋体"/>
                <w:sz w:val="24"/>
                <w:szCs w:val="24"/>
              </w:rPr>
              <w:t>增信措施</w:t>
            </w:r>
          </w:p>
        </w:tc>
        <w:tc>
          <w:tcPr>
            <w:tcW w:w="6222" w:type="dxa"/>
            <w:gridSpan w:val="3"/>
            <w:vAlign w:val="top"/>
          </w:tcPr>
          <w:p w14:paraId="1B137BD5">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东台市国有资产经营集团有限公司为本信托计划提供连带责任保证担保</w:t>
            </w:r>
          </w:p>
        </w:tc>
      </w:tr>
      <w:tr w14:paraId="5FE0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65159F29">
            <w:pPr>
              <w:spacing w:line="360" w:lineRule="auto"/>
              <w:jc w:val="left"/>
              <w:rPr>
                <w:rFonts w:ascii="宋体" w:hAnsi="宋体" w:eastAsia="宋体"/>
                <w:sz w:val="24"/>
                <w:szCs w:val="24"/>
              </w:rPr>
            </w:pPr>
            <w:r>
              <w:rPr>
                <w:rFonts w:hint="eastAsia" w:ascii="宋体" w:hAnsi="宋体" w:eastAsia="宋体"/>
                <w:sz w:val="24"/>
                <w:szCs w:val="24"/>
              </w:rPr>
              <w:t>投资起点</w:t>
            </w:r>
          </w:p>
        </w:tc>
        <w:tc>
          <w:tcPr>
            <w:tcW w:w="6222" w:type="dxa"/>
            <w:gridSpan w:val="3"/>
            <w:vAlign w:val="top"/>
          </w:tcPr>
          <w:p w14:paraId="121CF559">
            <w:pPr>
              <w:spacing w:line="360" w:lineRule="auto"/>
              <w:rPr>
                <w:rFonts w:ascii="宋体" w:hAnsi="宋体" w:eastAsia="宋体"/>
                <w:sz w:val="24"/>
                <w:szCs w:val="24"/>
              </w:rPr>
            </w:pPr>
            <w:r>
              <w:rPr>
                <w:rFonts w:hint="eastAsia" w:ascii="宋体" w:hAnsi="宋体" w:eastAsia="宋体"/>
                <w:sz w:val="24"/>
                <w:szCs w:val="24"/>
              </w:rPr>
              <w:t>人民币</w:t>
            </w:r>
            <w:r>
              <w:rPr>
                <w:rFonts w:hint="eastAsia" w:ascii="宋体" w:hAnsi="宋体" w:eastAsia="宋体"/>
                <w:sz w:val="24"/>
                <w:szCs w:val="24"/>
                <w:lang w:val="en-US" w:eastAsia="zh-CN"/>
              </w:rPr>
              <w:t>50</w:t>
            </w:r>
            <w:r>
              <w:rPr>
                <w:rFonts w:hint="eastAsia" w:ascii="宋体" w:hAnsi="宋体" w:eastAsia="宋体"/>
                <w:sz w:val="24"/>
                <w:szCs w:val="24"/>
              </w:rPr>
              <w:t>万元起，并以1</w:t>
            </w:r>
            <w:r>
              <w:rPr>
                <w:rFonts w:ascii="宋体" w:hAnsi="宋体" w:eastAsia="宋体"/>
                <w:sz w:val="24"/>
                <w:szCs w:val="24"/>
              </w:rPr>
              <w:t>0</w:t>
            </w:r>
            <w:r>
              <w:rPr>
                <w:rFonts w:hint="eastAsia" w:ascii="宋体" w:hAnsi="宋体" w:eastAsia="宋体"/>
                <w:sz w:val="24"/>
                <w:szCs w:val="24"/>
              </w:rPr>
              <w:t>万元的整数倍递增</w:t>
            </w:r>
          </w:p>
        </w:tc>
      </w:tr>
      <w:tr w14:paraId="3359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310FF9AA">
            <w:pPr>
              <w:spacing w:line="360" w:lineRule="auto"/>
              <w:jc w:val="left"/>
              <w:rPr>
                <w:rFonts w:ascii="宋体" w:hAnsi="宋体" w:eastAsia="宋体"/>
                <w:sz w:val="24"/>
                <w:szCs w:val="24"/>
              </w:rPr>
            </w:pPr>
            <w:r>
              <w:rPr>
                <w:rFonts w:hint="eastAsia" w:ascii="宋体" w:hAnsi="宋体" w:eastAsia="宋体"/>
                <w:sz w:val="24"/>
                <w:szCs w:val="24"/>
              </w:rPr>
              <w:t>业绩基准</w:t>
            </w:r>
          </w:p>
        </w:tc>
        <w:tc>
          <w:tcPr>
            <w:tcW w:w="6222" w:type="dxa"/>
            <w:gridSpan w:val="3"/>
            <w:vAlign w:val="top"/>
          </w:tcPr>
          <w:p w14:paraId="4C96F156">
            <w:pPr>
              <w:spacing w:line="360" w:lineRule="auto"/>
              <w:rPr>
                <w:rFonts w:hint="eastAsia" w:ascii="宋体" w:hAnsi="宋体" w:eastAsia="宋体"/>
                <w:sz w:val="24"/>
                <w:szCs w:val="24"/>
                <w:highlight w:val="yellow"/>
                <w:lang w:val="en-US" w:eastAsia="zh-CN"/>
              </w:rPr>
            </w:pPr>
            <w:r>
              <w:rPr>
                <w:rFonts w:hint="eastAsia" w:ascii="宋体" w:hAnsi="宋体" w:eastAsia="宋体"/>
                <w:sz w:val="24"/>
                <w:szCs w:val="24"/>
                <w:lang w:val="en-US" w:eastAsia="zh-CN"/>
              </w:rPr>
              <w:t>3.24%</w:t>
            </w:r>
          </w:p>
        </w:tc>
      </w:tr>
      <w:tr w14:paraId="0EBE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177DDA9F">
            <w:pPr>
              <w:spacing w:line="360" w:lineRule="auto"/>
              <w:jc w:val="left"/>
              <w:rPr>
                <w:rFonts w:ascii="宋体" w:hAnsi="宋体" w:eastAsia="宋体"/>
                <w:sz w:val="24"/>
                <w:szCs w:val="24"/>
              </w:rPr>
            </w:pPr>
            <w:r>
              <w:rPr>
                <w:rFonts w:hint="eastAsia" w:ascii="宋体" w:hAnsi="宋体" w:eastAsia="宋体"/>
                <w:sz w:val="24"/>
                <w:szCs w:val="24"/>
              </w:rPr>
              <w:t>代销规模</w:t>
            </w:r>
          </w:p>
        </w:tc>
        <w:tc>
          <w:tcPr>
            <w:tcW w:w="6222" w:type="dxa"/>
            <w:gridSpan w:val="3"/>
            <w:vAlign w:val="top"/>
          </w:tcPr>
          <w:p w14:paraId="017213C4">
            <w:pPr>
              <w:spacing w:line="360" w:lineRule="auto"/>
              <w:rPr>
                <w:rFonts w:ascii="宋体" w:hAnsi="宋体" w:eastAsia="宋体"/>
                <w:sz w:val="24"/>
                <w:szCs w:val="24"/>
              </w:rPr>
            </w:pPr>
            <w:r>
              <w:rPr>
                <w:rFonts w:hint="eastAsia" w:ascii="宋体" w:hAnsi="宋体" w:eastAsia="宋体"/>
                <w:sz w:val="24"/>
                <w:szCs w:val="24"/>
                <w:lang w:val="en-US" w:eastAsia="zh-CN"/>
              </w:rPr>
              <w:t>本期不超过7000</w:t>
            </w:r>
            <w:r>
              <w:rPr>
                <w:rFonts w:hint="eastAsia" w:ascii="宋体" w:hAnsi="宋体" w:eastAsia="宋体"/>
                <w:sz w:val="24"/>
                <w:szCs w:val="24"/>
              </w:rPr>
              <w:t>万元</w:t>
            </w:r>
          </w:p>
        </w:tc>
      </w:tr>
      <w:tr w14:paraId="24BE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5147F9F8">
            <w:pPr>
              <w:spacing w:line="360" w:lineRule="auto"/>
              <w:jc w:val="left"/>
              <w:rPr>
                <w:rFonts w:ascii="宋体" w:hAnsi="宋体" w:eastAsia="宋体"/>
                <w:sz w:val="24"/>
                <w:szCs w:val="24"/>
              </w:rPr>
            </w:pPr>
            <w:r>
              <w:rPr>
                <w:rFonts w:hint="eastAsia" w:ascii="宋体" w:hAnsi="宋体" w:eastAsia="宋体"/>
                <w:sz w:val="24"/>
                <w:szCs w:val="24"/>
              </w:rPr>
              <w:t>退出方式</w:t>
            </w:r>
          </w:p>
        </w:tc>
        <w:tc>
          <w:tcPr>
            <w:tcW w:w="6222" w:type="dxa"/>
            <w:gridSpan w:val="3"/>
            <w:vAlign w:val="top"/>
          </w:tcPr>
          <w:p w14:paraId="5F1292A3">
            <w:pPr>
              <w:spacing w:line="360" w:lineRule="auto"/>
              <w:rPr>
                <w:rFonts w:ascii="宋体" w:hAnsi="宋体" w:eastAsia="宋体"/>
                <w:sz w:val="24"/>
                <w:szCs w:val="24"/>
              </w:rPr>
            </w:pPr>
            <w:r>
              <w:rPr>
                <w:rFonts w:hint="eastAsia" w:ascii="宋体" w:hAnsi="宋体" w:eastAsia="宋体"/>
                <w:sz w:val="24"/>
                <w:szCs w:val="24"/>
              </w:rPr>
              <w:t>到期退出</w:t>
            </w:r>
          </w:p>
        </w:tc>
      </w:tr>
      <w:tr w14:paraId="7554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6530C04D">
            <w:pPr>
              <w:spacing w:line="360" w:lineRule="auto"/>
              <w:jc w:val="left"/>
              <w:rPr>
                <w:rFonts w:ascii="宋体" w:hAnsi="宋体" w:eastAsia="宋体"/>
                <w:sz w:val="24"/>
                <w:szCs w:val="24"/>
              </w:rPr>
            </w:pPr>
            <w:r>
              <w:rPr>
                <w:rFonts w:hint="eastAsia" w:ascii="宋体" w:hAnsi="宋体" w:eastAsia="宋体"/>
                <w:sz w:val="24"/>
                <w:szCs w:val="24"/>
              </w:rPr>
              <w:t>投资者费用</w:t>
            </w:r>
          </w:p>
        </w:tc>
        <w:tc>
          <w:tcPr>
            <w:tcW w:w="6222" w:type="dxa"/>
            <w:gridSpan w:val="3"/>
            <w:vAlign w:val="top"/>
          </w:tcPr>
          <w:p w14:paraId="4A6F11BC">
            <w:pPr>
              <w:spacing w:line="360" w:lineRule="auto"/>
              <w:rPr>
                <w:rFonts w:ascii="宋体" w:hAnsi="宋体" w:eastAsia="宋体"/>
                <w:sz w:val="24"/>
                <w:szCs w:val="24"/>
              </w:rPr>
            </w:pPr>
            <w:r>
              <w:rPr>
                <w:rFonts w:hint="eastAsia" w:ascii="宋体" w:hAnsi="宋体" w:eastAsia="宋体"/>
                <w:sz w:val="24"/>
                <w:szCs w:val="24"/>
              </w:rPr>
              <w:t>无认购、申购、到期赎回费用</w:t>
            </w:r>
          </w:p>
        </w:tc>
      </w:tr>
      <w:tr w14:paraId="0007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0A9518D9">
            <w:pPr>
              <w:spacing w:line="360" w:lineRule="auto"/>
              <w:jc w:val="left"/>
              <w:rPr>
                <w:rFonts w:ascii="宋体" w:hAnsi="宋体" w:eastAsia="宋体"/>
                <w:sz w:val="24"/>
                <w:szCs w:val="24"/>
              </w:rPr>
            </w:pPr>
            <w:r>
              <w:rPr>
                <w:rFonts w:hint="eastAsia" w:ascii="宋体" w:hAnsi="宋体" w:eastAsia="宋体"/>
                <w:sz w:val="24"/>
                <w:szCs w:val="24"/>
              </w:rPr>
              <w:t>推荐部门</w:t>
            </w:r>
          </w:p>
        </w:tc>
        <w:tc>
          <w:tcPr>
            <w:tcW w:w="6222" w:type="dxa"/>
            <w:gridSpan w:val="3"/>
            <w:vAlign w:val="top"/>
          </w:tcPr>
          <w:p w14:paraId="0207A541">
            <w:pPr>
              <w:spacing w:line="360" w:lineRule="auto"/>
              <w:rPr>
                <w:rFonts w:ascii="宋体" w:hAnsi="宋体" w:eastAsia="宋体"/>
                <w:sz w:val="24"/>
                <w:szCs w:val="24"/>
              </w:rPr>
            </w:pPr>
            <w:r>
              <w:rPr>
                <w:rFonts w:hint="eastAsia" w:ascii="宋体" w:hAnsi="宋体" w:eastAsia="宋体"/>
                <w:sz w:val="24"/>
                <w:szCs w:val="24"/>
                <w:lang w:eastAsia="zh-CN"/>
              </w:rPr>
              <w:t>资产管理</w:t>
            </w:r>
            <w:r>
              <w:rPr>
                <w:rFonts w:hint="eastAsia" w:ascii="宋体" w:hAnsi="宋体" w:eastAsia="宋体"/>
                <w:sz w:val="24"/>
                <w:szCs w:val="24"/>
              </w:rPr>
              <w:t>部</w:t>
            </w:r>
          </w:p>
        </w:tc>
      </w:tr>
      <w:tr w14:paraId="7082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78EEA44C">
            <w:pPr>
              <w:spacing w:line="360" w:lineRule="auto"/>
              <w:jc w:val="left"/>
              <w:rPr>
                <w:rFonts w:ascii="宋体" w:hAnsi="宋体" w:eastAsia="宋体"/>
                <w:sz w:val="24"/>
                <w:szCs w:val="24"/>
              </w:rPr>
            </w:pPr>
            <w:r>
              <w:rPr>
                <w:rFonts w:hint="eastAsia" w:ascii="宋体" w:hAnsi="宋体" w:eastAsia="宋体"/>
                <w:sz w:val="24"/>
                <w:szCs w:val="24"/>
              </w:rPr>
              <w:t>时间安排</w:t>
            </w:r>
          </w:p>
        </w:tc>
        <w:tc>
          <w:tcPr>
            <w:tcW w:w="6222" w:type="dxa"/>
            <w:gridSpan w:val="3"/>
            <w:vAlign w:val="top"/>
          </w:tcPr>
          <w:p w14:paraId="6657FCAF">
            <w:pPr>
              <w:spacing w:line="360" w:lineRule="auto"/>
              <w:rPr>
                <w:rFonts w:ascii="宋体" w:hAnsi="宋体" w:eastAsia="宋体"/>
                <w:sz w:val="24"/>
                <w:szCs w:val="24"/>
                <w:highlight w:val="none"/>
              </w:rPr>
            </w:pPr>
            <w:r>
              <w:rPr>
                <w:rFonts w:hint="eastAsia" w:ascii="宋体" w:hAnsi="宋体" w:eastAsia="宋体"/>
                <w:sz w:val="24"/>
                <w:szCs w:val="24"/>
                <w:highlight w:val="none"/>
              </w:rPr>
              <w:t>募集期：2</w:t>
            </w:r>
            <w:r>
              <w:rPr>
                <w:rFonts w:ascii="宋体" w:hAnsi="宋体" w:eastAsia="宋体"/>
                <w:sz w:val="24"/>
                <w:szCs w:val="24"/>
                <w:highlight w:val="none"/>
              </w:rPr>
              <w:t>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07-11</w:t>
            </w:r>
            <w:r>
              <w:rPr>
                <w:rFonts w:hint="eastAsia" w:ascii="宋体" w:hAnsi="宋体" w:eastAsia="宋体"/>
                <w:sz w:val="24"/>
                <w:szCs w:val="24"/>
                <w:highlight w:val="none"/>
              </w:rPr>
              <w:t>日；</w:t>
            </w:r>
          </w:p>
          <w:p w14:paraId="1C60E09B">
            <w:pPr>
              <w:spacing w:line="360" w:lineRule="auto"/>
              <w:rPr>
                <w:rFonts w:ascii="宋体" w:hAnsi="宋体" w:eastAsia="宋体"/>
                <w:sz w:val="24"/>
                <w:szCs w:val="24"/>
                <w:highlight w:val="none"/>
              </w:rPr>
            </w:pPr>
            <w:r>
              <w:rPr>
                <w:rFonts w:hint="eastAsia" w:ascii="宋体" w:hAnsi="宋体" w:eastAsia="宋体"/>
                <w:sz w:val="24"/>
                <w:szCs w:val="24"/>
                <w:highlight w:val="none"/>
              </w:rPr>
              <w:t>冷静期：2</w:t>
            </w:r>
            <w:r>
              <w:rPr>
                <w:rFonts w:ascii="宋体" w:hAnsi="宋体" w:eastAsia="宋体"/>
                <w:sz w:val="24"/>
                <w:szCs w:val="24"/>
                <w:highlight w:val="none"/>
              </w:rPr>
              <w:t>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日；</w:t>
            </w:r>
          </w:p>
          <w:p w14:paraId="2606B740">
            <w:pPr>
              <w:spacing w:line="360" w:lineRule="auto"/>
              <w:rPr>
                <w:rFonts w:ascii="宋体" w:hAnsi="宋体" w:eastAsia="宋体"/>
                <w:sz w:val="24"/>
                <w:szCs w:val="24"/>
                <w:highlight w:val="none"/>
              </w:rPr>
            </w:pPr>
            <w:r>
              <w:rPr>
                <w:rFonts w:hint="eastAsia" w:ascii="宋体" w:hAnsi="宋体" w:eastAsia="宋体"/>
                <w:sz w:val="24"/>
                <w:szCs w:val="24"/>
                <w:highlight w:val="none"/>
              </w:rPr>
              <w:t>起息日：2</w:t>
            </w:r>
            <w:r>
              <w:rPr>
                <w:rFonts w:ascii="宋体" w:hAnsi="宋体" w:eastAsia="宋体"/>
                <w:sz w:val="24"/>
                <w:szCs w:val="24"/>
                <w:highlight w:val="none"/>
              </w:rPr>
              <w:t>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13</w:t>
            </w:r>
            <w:r>
              <w:rPr>
                <w:rFonts w:hint="eastAsia" w:ascii="宋体" w:hAnsi="宋体" w:eastAsia="宋体"/>
                <w:sz w:val="24"/>
                <w:szCs w:val="24"/>
                <w:highlight w:val="none"/>
              </w:rPr>
              <w:t>日；</w:t>
            </w:r>
          </w:p>
          <w:p w14:paraId="3B2A4F58">
            <w:pPr>
              <w:spacing w:line="360" w:lineRule="auto"/>
              <w:rPr>
                <w:rFonts w:ascii="宋体" w:hAnsi="宋体" w:eastAsia="宋体"/>
                <w:sz w:val="24"/>
                <w:szCs w:val="24"/>
                <w:highlight w:val="none"/>
              </w:rPr>
            </w:pPr>
            <w:r>
              <w:rPr>
                <w:rFonts w:hint="eastAsia" w:ascii="宋体" w:hAnsi="宋体" w:eastAsia="宋体"/>
                <w:sz w:val="24"/>
                <w:szCs w:val="24"/>
                <w:highlight w:val="none"/>
              </w:rPr>
              <w:t>到期日：2</w:t>
            </w:r>
            <w:r>
              <w:rPr>
                <w:rFonts w:ascii="宋体" w:hAnsi="宋体" w:eastAsia="宋体"/>
                <w:sz w:val="24"/>
                <w:szCs w:val="24"/>
                <w:highlight w:val="none"/>
              </w:rPr>
              <w:t>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13</w:t>
            </w:r>
            <w:r>
              <w:rPr>
                <w:rFonts w:hint="eastAsia" w:ascii="宋体" w:hAnsi="宋体" w:eastAsia="宋体"/>
                <w:sz w:val="24"/>
                <w:szCs w:val="24"/>
                <w:highlight w:val="none"/>
              </w:rPr>
              <w:t>日</w:t>
            </w:r>
          </w:p>
          <w:p w14:paraId="168434E2">
            <w:pPr>
              <w:spacing w:line="360" w:lineRule="auto"/>
              <w:rPr>
                <w:rFonts w:ascii="宋体" w:hAnsi="宋体" w:eastAsia="宋体"/>
                <w:sz w:val="24"/>
                <w:szCs w:val="24"/>
              </w:rPr>
            </w:pPr>
            <w:r>
              <w:rPr>
                <w:rFonts w:hint="eastAsia" w:ascii="宋体" w:hAnsi="宋体" w:eastAsia="宋体"/>
                <w:sz w:val="24"/>
                <w:szCs w:val="24"/>
              </w:rPr>
              <w:t>（根据发行情况调整，以发行前要素为准</w:t>
            </w:r>
            <w:r>
              <w:rPr>
                <w:rFonts w:hint="eastAsia" w:ascii="宋体" w:hAnsi="宋体" w:eastAsia="宋体"/>
                <w:sz w:val="24"/>
                <w:szCs w:val="24"/>
                <w:lang w:eastAsia="zh-CN"/>
              </w:rPr>
              <w:t>，到期日遇节假日顺延</w:t>
            </w:r>
            <w:r>
              <w:rPr>
                <w:rFonts w:hint="eastAsia" w:ascii="宋体" w:hAnsi="宋体" w:eastAsia="宋体"/>
                <w:sz w:val="24"/>
                <w:szCs w:val="24"/>
              </w:rPr>
              <w:t>）</w:t>
            </w:r>
          </w:p>
        </w:tc>
      </w:tr>
      <w:tr w14:paraId="01AE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054CF380">
            <w:pPr>
              <w:spacing w:line="360" w:lineRule="auto"/>
              <w:jc w:val="left"/>
              <w:rPr>
                <w:rFonts w:ascii="宋体" w:hAnsi="宋体" w:eastAsia="宋体"/>
                <w:sz w:val="24"/>
                <w:szCs w:val="24"/>
              </w:rPr>
            </w:pPr>
            <w:r>
              <w:rPr>
                <w:rFonts w:hint="eastAsia" w:ascii="宋体" w:hAnsi="宋体" w:eastAsia="宋体"/>
                <w:sz w:val="24"/>
                <w:szCs w:val="24"/>
              </w:rPr>
              <w:t>备注</w:t>
            </w:r>
          </w:p>
        </w:tc>
        <w:tc>
          <w:tcPr>
            <w:tcW w:w="6222" w:type="dxa"/>
            <w:gridSpan w:val="3"/>
            <w:vAlign w:val="top"/>
          </w:tcPr>
          <w:p w14:paraId="6CAE3AB7">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无</w:t>
            </w:r>
          </w:p>
        </w:tc>
      </w:tr>
    </w:tbl>
    <w:p w14:paraId="79E6ACE6">
      <w:pPr>
        <w:spacing w:line="360" w:lineRule="auto"/>
        <w:ind w:firstLine="420" w:firstLineChars="200"/>
        <w:rPr>
          <w:rFonts w:ascii="宋体" w:hAnsi="宋体" w:eastAsia="宋体"/>
        </w:rPr>
      </w:pPr>
      <w:r>
        <w:rPr>
          <w:rFonts w:hint="eastAsia" w:ascii="宋体" w:hAnsi="宋体" w:eastAsia="宋体"/>
        </w:rPr>
        <w:t>提示：本产品由</w:t>
      </w:r>
      <w:r>
        <w:rPr>
          <w:rFonts w:hint="eastAsia" w:ascii="宋体" w:hAnsi="宋体" w:eastAsia="宋体"/>
          <w:lang w:val="en-US" w:eastAsia="zh-CN"/>
        </w:rPr>
        <w:t>厦门</w:t>
      </w:r>
      <w:r>
        <w:rPr>
          <w:rFonts w:hint="eastAsia" w:ascii="宋体" w:hAnsi="宋体" w:eastAsia="宋体"/>
          <w:lang w:eastAsia="zh-CN"/>
        </w:rPr>
        <w:t>国际信托有限公司</w:t>
      </w:r>
      <w:r>
        <w:rPr>
          <w:rFonts w:hint="eastAsia" w:ascii="宋体" w:hAnsi="宋体" w:eastAsia="宋体"/>
          <w:sz w:val="21"/>
          <w:szCs w:val="21"/>
        </w:rPr>
        <w:t>发</w:t>
      </w:r>
      <w:r>
        <w:rPr>
          <w:rFonts w:hint="eastAsia" w:ascii="宋体" w:hAnsi="宋体" w:eastAsia="宋体"/>
        </w:rPr>
        <w:t>行与管理，张家港农商行作为代销机构不承担产品的投资、兑付和风险管理责任</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024BB"/>
    <w:rsid w:val="0B0B2C35"/>
    <w:rsid w:val="1F2D53E7"/>
    <w:rsid w:val="3E2D50E9"/>
    <w:rsid w:val="46807FFC"/>
    <w:rsid w:val="47DB1BFB"/>
    <w:rsid w:val="55085E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黑体"/>
      <w:kern w:val="2"/>
      <w:sz w:val="21"/>
      <w:szCs w:val="22"/>
      <w:lang w:val="en-US" w:eastAsia="zh-CN" w:bidi="ar-SA"/>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
      <w:ind w:left="120"/>
    </w:pPr>
    <w:rPr>
      <w:sz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style>
  <w:style w:type="paragraph" w:customStyle="1" w:styleId="9">
    <w:name w:val="List Paragraph"/>
    <w:basedOn w:val="1"/>
    <w:qFormat/>
    <w:uiPriority w:val="0"/>
    <w:pPr>
      <w:ind w:firstLine="420" w:firstLineChars="200"/>
    </w:pPr>
  </w:style>
  <w:style w:type="paragraph" w:customStyle="1" w:styleId="10">
    <w:name w:val="Normal (Web)"/>
    <w:basedOn w:val="1"/>
    <w:qFormat/>
    <w:uiPriority w:val="0"/>
    <w:pPr>
      <w:spacing w:before="75" w:beforeAutospacing="0" w:after="75" w:afterAutospacing="0"/>
      <w:ind w:left="0" w:right="0"/>
      <w:jc w:val="left"/>
    </w:pPr>
    <w:rPr>
      <w:kern w:val="0"/>
      <w:sz w:val="24"/>
      <w:lang w:val="en-US" w:eastAsia="zh-CN"/>
    </w:rPr>
  </w:style>
  <w:style w:type="character" w:customStyle="1" w:styleId="11">
    <w:name w:val="页眉 字符"/>
    <w:basedOn w:val="7"/>
    <w:link w:val="4"/>
    <w:semiHidden/>
    <w:qFormat/>
    <w:uiPriority w:val="0"/>
    <w:rPr>
      <w:sz w:val="18"/>
      <w:szCs w:val="18"/>
    </w:rPr>
  </w:style>
  <w:style w:type="character" w:customStyle="1" w:styleId="12">
    <w:name w:val="页脚 字符"/>
    <w:basedOn w:val="7"/>
    <w:link w:val="3"/>
    <w:semiHidden/>
    <w:qFormat/>
    <w:uiPriority w:val="0"/>
    <w:rPr>
      <w:sz w:val="18"/>
      <w:szCs w:val="18"/>
    </w:rPr>
  </w:style>
  <w:style w:type="character" w:customStyle="1" w:styleId="13">
    <w:name w:val="page number"/>
    <w:qFormat/>
    <w:uiPriority w:val="0"/>
    <w:rPr>
      <w:rFonts w:ascii="Times New Roman" w:hAnsi="Times New Roman"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396</Words>
  <Characters>450</Characters>
  <Lines>3</Lines>
  <Paragraphs>1</Paragraphs>
  <TotalTime>7</TotalTime>
  <ScaleCrop>false</ScaleCrop>
  <LinksUpToDate>false</LinksUpToDate>
  <CharactersWithSpaces>450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2023-05-26T06:46:00Z</dcterms:created>
  <dc:creator>岳 Young Yue</dc:creator>
  <cp:lastModifiedBy>Z</cp:lastModifiedBy>
  <cp:lastPrinted>2024-07-09T17:17:00Z</cp:lastPrinted>
  <dcterms:modified xsi:type="dcterms:W3CDTF">2025-10-29T01:43:39Z</dcterms:modified>
  <dc:title>zrcbank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C575FD807D4145B394A1D7424409322F_13</vt:lpwstr>
  </property>
  <property fmtid="{D5CDD505-2E9C-101B-9397-08002B2CF9AE}" pid="4" name="KSOTemplateDocerSaveRecord">
    <vt:lpwstr>eyJoZGlkIjoiYjcxNzgzNWI1YTM5MGY0ZDdlYWI0ZGEzYmI0YTBmMmIiLCJ1c2VySWQiOiIyNDk4Nzg1NTcifQ==</vt:lpwstr>
  </property>
</Properties>
</file>