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sz w:val="28"/>
          <w:szCs w:val="32"/>
          <w:lang w:eastAsia="zh-CN"/>
        </w:rPr>
      </w:pPr>
      <w:r>
        <w:rPr>
          <w:rFonts w:hint="eastAsia" w:ascii="宋体" w:hAnsi="宋体" w:eastAsia="宋体"/>
          <w:sz w:val="28"/>
          <w:szCs w:val="32"/>
        </w:rPr>
        <w:t>厦门信托-</w:t>
      </w:r>
      <w:r>
        <w:rPr>
          <w:rFonts w:hint="eastAsia" w:ascii="宋体" w:hAnsi="宋体" w:eastAsia="宋体"/>
          <w:sz w:val="28"/>
          <w:szCs w:val="32"/>
          <w:lang w:eastAsia="zh-CN"/>
        </w:rPr>
        <w:t>心享2501资产管理信托</w:t>
      </w:r>
      <w:r>
        <w:rPr>
          <w:rFonts w:hint="eastAsia" w:ascii="宋体" w:hAnsi="宋体" w:eastAsia="宋体"/>
          <w:sz w:val="28"/>
          <w:szCs w:val="32"/>
        </w:rPr>
        <w:t>要素</w:t>
      </w:r>
      <w:r>
        <w:rPr>
          <w:rFonts w:hint="eastAsia" w:ascii="宋体" w:hAnsi="宋体" w:eastAsia="宋体"/>
          <w:sz w:val="28"/>
          <w:szCs w:val="32"/>
          <w:lang w:eastAsia="zh-CN"/>
        </w:rPr>
        <w:t>表（</w:t>
      </w:r>
      <w:r>
        <w:rPr>
          <w:rFonts w:hint="eastAsia" w:ascii="宋体" w:hAnsi="宋体" w:eastAsia="宋体"/>
          <w:sz w:val="28"/>
          <w:szCs w:val="32"/>
          <w:lang w:val="en-US" w:eastAsia="zh-CN"/>
        </w:rPr>
        <w:t>第一期</w:t>
      </w:r>
      <w:r>
        <w:rPr>
          <w:rFonts w:hint="eastAsia" w:ascii="宋体" w:hAnsi="宋体" w:eastAsia="宋体"/>
          <w:sz w:val="28"/>
          <w:szCs w:val="32"/>
          <w:lang w:eastAsia="zh-CN"/>
        </w:rPr>
        <w:t>）</w:t>
      </w:r>
    </w:p>
    <w:p>
      <w:pPr>
        <w:spacing w:line="360" w:lineRule="auto"/>
        <w:rPr>
          <w:rFonts w:ascii="宋体" w:hAnsi="宋体" w:eastAsia="宋体"/>
        </w:rPr>
      </w:pPr>
    </w:p>
    <w:tbl>
      <w:tblPr>
        <w:tblStyle w:val="5"/>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607"/>
        <w:gridCol w:w="2835"/>
        <w:gridCol w:w="1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pPr>
              <w:spacing w:line="360" w:lineRule="auto"/>
              <w:jc w:val="left"/>
              <w:rPr>
                <w:rFonts w:hint="eastAsia" w:ascii="宋体" w:hAnsi="宋体" w:eastAsia="宋体"/>
                <w:sz w:val="24"/>
                <w:szCs w:val="24"/>
              </w:rPr>
            </w:pPr>
            <w:r>
              <w:rPr>
                <w:rFonts w:hint="eastAsia" w:ascii="宋体" w:hAnsi="宋体" w:eastAsia="宋体"/>
                <w:sz w:val="24"/>
                <w:szCs w:val="24"/>
              </w:rPr>
              <w:t>产品名称、</w:t>
            </w:r>
          </w:p>
          <w:p>
            <w:pPr>
              <w:spacing w:line="360" w:lineRule="auto"/>
              <w:jc w:val="left"/>
            </w:pPr>
            <w:r>
              <w:rPr>
                <w:rFonts w:hint="eastAsia" w:ascii="宋体" w:hAnsi="宋体" w:eastAsia="宋体"/>
                <w:sz w:val="24"/>
                <w:szCs w:val="24"/>
                <w:lang w:eastAsia="zh-CN"/>
              </w:rPr>
              <w:t>登记</w:t>
            </w:r>
            <w:r>
              <w:rPr>
                <w:rFonts w:hint="eastAsia" w:ascii="宋体" w:hAnsi="宋体" w:eastAsia="宋体"/>
                <w:sz w:val="24"/>
                <w:szCs w:val="24"/>
              </w:rPr>
              <w:t>编码</w:t>
            </w:r>
          </w:p>
        </w:tc>
        <w:tc>
          <w:tcPr>
            <w:tcW w:w="6222" w:type="dxa"/>
            <w:gridSpan w:val="3"/>
            <w:vAlign w:val="top"/>
          </w:tcPr>
          <w:p>
            <w:pPr>
              <w:spacing w:line="360" w:lineRule="auto"/>
              <w:rPr>
                <w:rFonts w:hint="eastAsia" w:ascii="宋体" w:hAnsi="宋体" w:eastAsia="宋体"/>
                <w:sz w:val="24"/>
                <w:szCs w:val="24"/>
              </w:rPr>
            </w:pPr>
            <w:r>
              <w:rPr>
                <w:rFonts w:hint="eastAsia" w:ascii="宋体" w:hAnsi="宋体" w:eastAsia="宋体"/>
                <w:sz w:val="24"/>
                <w:szCs w:val="24"/>
              </w:rPr>
              <w:t>产品名称：厦门信托-</w:t>
            </w:r>
            <w:r>
              <w:rPr>
                <w:rFonts w:hint="eastAsia" w:ascii="宋体" w:hAnsi="宋体" w:eastAsia="宋体"/>
                <w:sz w:val="24"/>
                <w:szCs w:val="24"/>
                <w:lang w:eastAsia="zh-CN"/>
              </w:rPr>
              <w:t>心享2501资产管理信托</w:t>
            </w:r>
          </w:p>
          <w:p>
            <w:pPr>
              <w:spacing w:line="360" w:lineRule="auto"/>
              <w:rPr>
                <w:rFonts w:hint="default" w:ascii="宋体" w:hAnsi="宋体" w:eastAsia="宋体"/>
                <w:sz w:val="24"/>
                <w:szCs w:val="24"/>
                <w:lang w:val="en-US"/>
              </w:rPr>
            </w:pPr>
            <w:r>
              <w:rPr>
                <w:rFonts w:hint="eastAsia" w:ascii="宋体" w:hAnsi="宋体" w:eastAsia="宋体"/>
                <w:sz w:val="24"/>
                <w:szCs w:val="24"/>
              </w:rPr>
              <w:t>信托登记编码：ZXD20251209000000654X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pPr>
              <w:spacing w:line="360" w:lineRule="auto"/>
              <w:jc w:val="left"/>
              <w:rPr>
                <w:rFonts w:ascii="宋体" w:hAnsi="宋体" w:eastAsia="宋体"/>
                <w:sz w:val="24"/>
                <w:szCs w:val="24"/>
              </w:rPr>
            </w:pPr>
            <w:r>
              <w:rPr>
                <w:rFonts w:hint="eastAsia" w:ascii="宋体" w:hAnsi="宋体" w:eastAsia="宋体"/>
                <w:sz w:val="24"/>
                <w:szCs w:val="24"/>
              </w:rPr>
              <w:t>产品类型</w:t>
            </w:r>
          </w:p>
        </w:tc>
        <w:tc>
          <w:tcPr>
            <w:tcW w:w="6222" w:type="dxa"/>
            <w:gridSpan w:val="3"/>
            <w:vAlign w:val="top"/>
          </w:tcPr>
          <w:p>
            <w:pPr>
              <w:spacing w:line="360" w:lineRule="auto"/>
              <w:rPr>
                <w:rFonts w:ascii="宋体" w:hAnsi="宋体" w:eastAsia="宋体"/>
                <w:sz w:val="24"/>
                <w:szCs w:val="24"/>
              </w:rPr>
            </w:pPr>
            <w:r>
              <w:rPr>
                <w:rFonts w:hint="eastAsia" w:ascii="宋体" w:hAnsi="宋体" w:eastAsia="宋体"/>
                <w:snapToGrid w:val="0"/>
                <w:kern w:val="0"/>
                <w:sz w:val="24"/>
                <w:szCs w:val="24"/>
              </w:rPr>
              <w:t>固定收益类集合资金信托计划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pPr>
              <w:spacing w:line="360" w:lineRule="auto"/>
              <w:jc w:val="left"/>
              <w:rPr>
                <w:rFonts w:ascii="宋体" w:hAnsi="宋体" w:eastAsia="宋体"/>
                <w:sz w:val="24"/>
                <w:szCs w:val="24"/>
              </w:rPr>
            </w:pPr>
            <w:r>
              <w:rPr>
                <w:rFonts w:hint="eastAsia" w:ascii="宋体" w:hAnsi="宋体" w:eastAsia="宋体"/>
                <w:sz w:val="24"/>
                <w:szCs w:val="24"/>
              </w:rPr>
              <w:t>风险等级</w:t>
            </w:r>
          </w:p>
        </w:tc>
        <w:tc>
          <w:tcPr>
            <w:tcW w:w="1607" w:type="dxa"/>
            <w:vAlign w:val="top"/>
          </w:tcPr>
          <w:p>
            <w:pPr>
              <w:spacing w:line="360" w:lineRule="auto"/>
              <w:rPr>
                <w:rFonts w:ascii="宋体" w:hAnsi="宋体" w:eastAsia="宋体"/>
                <w:sz w:val="24"/>
                <w:szCs w:val="24"/>
              </w:rPr>
            </w:pPr>
            <w:r>
              <w:rPr>
                <w:rFonts w:hint="eastAsia" w:ascii="宋体" w:hAnsi="宋体" w:eastAsia="宋体"/>
                <w:sz w:val="24"/>
                <w:szCs w:val="24"/>
              </w:rPr>
              <w:t>R</w:t>
            </w:r>
            <w:r>
              <w:rPr>
                <w:rFonts w:ascii="宋体" w:hAnsi="宋体" w:eastAsia="宋体"/>
                <w:sz w:val="24"/>
                <w:szCs w:val="24"/>
              </w:rPr>
              <w:t>3</w:t>
            </w:r>
            <w:r>
              <w:rPr>
                <w:rFonts w:hint="eastAsia" w:ascii="宋体" w:hAnsi="宋体" w:eastAsia="宋体"/>
                <w:sz w:val="24"/>
                <w:szCs w:val="24"/>
              </w:rPr>
              <w:t>级中风险</w:t>
            </w:r>
          </w:p>
        </w:tc>
        <w:tc>
          <w:tcPr>
            <w:tcW w:w="2835" w:type="dxa"/>
            <w:vAlign w:val="top"/>
          </w:tcPr>
          <w:p>
            <w:pPr>
              <w:spacing w:line="360" w:lineRule="auto"/>
              <w:rPr>
                <w:rFonts w:ascii="宋体" w:hAnsi="宋体" w:eastAsia="宋体"/>
                <w:sz w:val="24"/>
                <w:szCs w:val="24"/>
              </w:rPr>
            </w:pPr>
            <w:r>
              <w:rPr>
                <w:rFonts w:hint="eastAsia" w:ascii="宋体" w:hAnsi="宋体" w:eastAsia="宋体"/>
                <w:sz w:val="24"/>
                <w:szCs w:val="24"/>
              </w:rPr>
              <w:t>信托公司内部风险等级</w:t>
            </w:r>
          </w:p>
        </w:tc>
        <w:tc>
          <w:tcPr>
            <w:tcW w:w="1780" w:type="dxa"/>
            <w:vAlign w:val="top"/>
          </w:tcPr>
          <w:p>
            <w:pPr>
              <w:spacing w:line="360" w:lineRule="auto"/>
              <w:rPr>
                <w:rFonts w:ascii="宋体" w:hAnsi="宋体" w:eastAsia="宋体"/>
                <w:sz w:val="24"/>
                <w:szCs w:val="24"/>
              </w:rPr>
            </w:pPr>
            <w:r>
              <w:rPr>
                <w:rFonts w:hint="eastAsia" w:ascii="宋体" w:hAnsi="宋体" w:eastAsia="宋体"/>
                <w:sz w:val="24"/>
                <w:szCs w:val="24"/>
              </w:rPr>
              <w:t>R</w:t>
            </w:r>
            <w:r>
              <w:rPr>
                <w:rFonts w:ascii="宋体" w:hAnsi="宋体" w:eastAsia="宋体"/>
                <w:sz w:val="24"/>
                <w:szCs w:val="24"/>
              </w:rPr>
              <w:t>3</w:t>
            </w:r>
            <w:r>
              <w:rPr>
                <w:rFonts w:hint="eastAsia" w:ascii="宋体" w:hAnsi="宋体" w:eastAsia="宋体"/>
                <w:sz w:val="24"/>
                <w:szCs w:val="24"/>
              </w:rPr>
              <w:t>级中风险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4" w:type="dxa"/>
            <w:vAlign w:val="center"/>
          </w:tcPr>
          <w:p>
            <w:pPr>
              <w:spacing w:line="360" w:lineRule="auto"/>
              <w:jc w:val="left"/>
              <w:rPr>
                <w:rFonts w:ascii="宋体" w:hAnsi="宋体" w:eastAsia="宋体"/>
                <w:sz w:val="24"/>
                <w:szCs w:val="24"/>
              </w:rPr>
            </w:pPr>
            <w:r>
              <w:rPr>
                <w:rFonts w:hint="eastAsia" w:ascii="宋体" w:hAnsi="宋体" w:eastAsia="宋体"/>
                <w:sz w:val="24"/>
                <w:szCs w:val="24"/>
              </w:rPr>
              <w:t>受托管理人</w:t>
            </w:r>
          </w:p>
        </w:tc>
        <w:tc>
          <w:tcPr>
            <w:tcW w:w="6222" w:type="dxa"/>
            <w:gridSpan w:val="3"/>
            <w:vAlign w:val="top"/>
          </w:tcPr>
          <w:p>
            <w:pPr>
              <w:spacing w:line="360" w:lineRule="auto"/>
              <w:rPr>
                <w:rFonts w:hint="eastAsia" w:ascii="宋体" w:hAnsi="宋体" w:eastAsia="宋体"/>
                <w:sz w:val="24"/>
                <w:szCs w:val="24"/>
                <w:lang w:eastAsia="zh-CN"/>
              </w:rPr>
            </w:pPr>
            <w:r>
              <w:rPr>
                <w:rFonts w:hint="eastAsia" w:ascii="宋体" w:hAnsi="宋体" w:eastAsia="宋体"/>
                <w:sz w:val="24"/>
                <w:szCs w:val="24"/>
                <w:lang w:val="en-US" w:eastAsia="zh-CN"/>
              </w:rPr>
              <w:t>厦门国际信托有限公司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pPr>
              <w:spacing w:line="360" w:lineRule="auto"/>
              <w:jc w:val="left"/>
              <w:rPr>
                <w:rFonts w:ascii="宋体" w:hAnsi="宋体" w:eastAsia="宋体"/>
                <w:sz w:val="24"/>
                <w:szCs w:val="24"/>
              </w:rPr>
            </w:pPr>
            <w:r>
              <w:rPr>
                <w:rFonts w:hint="eastAsia" w:ascii="宋体" w:hAnsi="宋体" w:eastAsia="宋体"/>
                <w:sz w:val="24"/>
                <w:szCs w:val="24"/>
              </w:rPr>
              <w:t>存续期限</w:t>
            </w:r>
          </w:p>
        </w:tc>
        <w:tc>
          <w:tcPr>
            <w:tcW w:w="6222" w:type="dxa"/>
            <w:gridSpan w:val="3"/>
            <w:vAlign w:val="top"/>
          </w:tcPr>
          <w:p>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pPr>
              <w:spacing w:line="360" w:lineRule="auto"/>
              <w:jc w:val="left"/>
              <w:rPr>
                <w:rFonts w:ascii="宋体" w:hAnsi="宋体" w:eastAsia="宋体"/>
                <w:sz w:val="24"/>
                <w:szCs w:val="24"/>
              </w:rPr>
            </w:pPr>
            <w:r>
              <w:rPr>
                <w:rFonts w:hint="eastAsia" w:ascii="宋体" w:hAnsi="宋体" w:eastAsia="宋体"/>
                <w:sz w:val="24"/>
                <w:szCs w:val="24"/>
              </w:rPr>
              <w:t>投资范围</w:t>
            </w:r>
          </w:p>
        </w:tc>
        <w:tc>
          <w:tcPr>
            <w:tcW w:w="6222" w:type="dxa"/>
            <w:gridSpan w:val="3"/>
            <w:vAlign w:val="top"/>
          </w:tcPr>
          <w:p>
            <w:pPr>
              <w:pStyle w:val="8"/>
              <w:numPr>
                <w:ilvl w:val="0"/>
                <w:numId w:val="0"/>
              </w:numPr>
              <w:spacing w:line="360" w:lineRule="auto"/>
              <w:ind w:leftChars="0"/>
              <w:rPr>
                <w:rFonts w:hint="default" w:ascii="宋体" w:hAnsi="宋体" w:eastAsia="宋体"/>
                <w:sz w:val="24"/>
                <w:szCs w:val="24"/>
                <w:lang w:val="en-US"/>
              </w:rPr>
            </w:pPr>
            <w:r>
              <w:rPr>
                <w:rFonts w:hint="eastAsia" w:ascii="宋体" w:hAnsi="宋体" w:eastAsia="宋体"/>
                <w:sz w:val="24"/>
                <w:szCs w:val="24"/>
              </w:rPr>
              <w:t>向徐州盛铜控股集团有限公司</w:t>
            </w:r>
            <w:r>
              <w:rPr>
                <w:rFonts w:hint="eastAsia" w:ascii="宋体" w:hAnsi="宋体" w:eastAsia="宋体"/>
                <w:sz w:val="24"/>
                <w:szCs w:val="24"/>
                <w:lang w:eastAsia="zh-CN"/>
              </w:rPr>
              <w:t>、东台市文化旅游投资发展集团有限公司</w:t>
            </w:r>
            <w:r>
              <w:rPr>
                <w:rFonts w:hint="eastAsia" w:ascii="宋体" w:hAnsi="宋体" w:eastAsia="宋体"/>
                <w:sz w:val="24"/>
                <w:szCs w:val="24"/>
                <w:lang w:val="en-US" w:eastAsia="zh-CN"/>
              </w:rPr>
              <w:t>进行债权投资。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pPr>
              <w:spacing w:line="360" w:lineRule="auto"/>
              <w:jc w:val="left"/>
              <w:rPr>
                <w:rFonts w:ascii="宋体" w:hAnsi="宋体" w:eastAsia="宋体"/>
                <w:sz w:val="24"/>
                <w:szCs w:val="24"/>
              </w:rPr>
            </w:pPr>
            <w:r>
              <w:rPr>
                <w:rFonts w:hint="eastAsia" w:ascii="宋体" w:hAnsi="宋体" w:eastAsia="宋体"/>
                <w:sz w:val="24"/>
                <w:szCs w:val="24"/>
              </w:rPr>
              <w:t>增信措施</w:t>
            </w:r>
          </w:p>
        </w:tc>
        <w:tc>
          <w:tcPr>
            <w:tcW w:w="6222" w:type="dxa"/>
            <w:gridSpan w:val="3"/>
            <w:vAlign w:val="top"/>
          </w:tcPr>
          <w:p>
            <w:pPr>
              <w:spacing w:line="360" w:lineRule="auto"/>
              <w:rPr>
                <w:rFonts w:hint="eastAsia" w:ascii="宋体" w:hAnsi="宋体" w:eastAsia="宋体"/>
                <w:sz w:val="24"/>
                <w:szCs w:val="24"/>
                <w:lang w:val="en-US" w:eastAsia="zh-CN"/>
              </w:rPr>
            </w:pPr>
            <w:r>
              <w:rPr>
                <w:rFonts w:hint="eastAsia" w:ascii="宋体" w:hAnsi="宋体" w:eastAsia="宋体"/>
                <w:sz w:val="24"/>
                <w:szCs w:val="24"/>
                <w:lang w:val="en-US" w:eastAsia="zh-CN"/>
              </w:rPr>
              <w:t>融资人徐州盛铜控股集团有限公司由</w:t>
            </w:r>
            <w:r>
              <w:rPr>
                <w:rFonts w:hint="default" w:ascii="宋体" w:hAnsi="宋体" w:eastAsia="宋体"/>
                <w:sz w:val="24"/>
                <w:szCs w:val="24"/>
                <w:lang w:val="en-US" w:eastAsia="zh-CN"/>
              </w:rPr>
              <w:t>徐州市铜山区城市建设投资有限责任公司提供连带责任保证担保</w:t>
            </w:r>
            <w:r>
              <w:rPr>
                <w:rFonts w:hint="eastAsia" w:ascii="宋体" w:hAnsi="宋体" w:eastAsia="宋体"/>
                <w:sz w:val="24"/>
                <w:szCs w:val="24"/>
                <w:lang w:val="en-US" w:eastAsia="zh-CN"/>
              </w:rPr>
              <w:t>。</w:t>
            </w:r>
          </w:p>
          <w:p>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融资人</w:t>
            </w:r>
            <w:r>
              <w:rPr>
                <w:rFonts w:hint="eastAsia" w:ascii="宋体" w:hAnsi="宋体" w:eastAsia="宋体"/>
                <w:sz w:val="24"/>
                <w:szCs w:val="24"/>
                <w:lang w:eastAsia="zh-CN"/>
              </w:rPr>
              <w:t>东台市文化旅游投资发展集团有限公司</w:t>
            </w:r>
            <w:r>
              <w:rPr>
                <w:rFonts w:hint="eastAsia" w:ascii="宋体" w:hAnsi="宋体" w:eastAsia="宋体"/>
                <w:sz w:val="24"/>
                <w:szCs w:val="24"/>
                <w:lang w:val="en-US" w:eastAsia="zh-CN"/>
              </w:rPr>
              <w:t>由无锡联合融资担保股份有限公司、苏州东方创融融资担保有限公司及东台市国有资产经营集团有限公司提供连带责任保证担保。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4" w:type="dxa"/>
            <w:vAlign w:val="center"/>
          </w:tcPr>
          <w:p>
            <w:pPr>
              <w:spacing w:line="360" w:lineRule="auto"/>
              <w:jc w:val="left"/>
              <w:rPr>
                <w:rFonts w:ascii="宋体" w:hAnsi="宋体" w:eastAsia="宋体"/>
                <w:sz w:val="24"/>
                <w:szCs w:val="24"/>
              </w:rPr>
            </w:pPr>
            <w:r>
              <w:rPr>
                <w:rFonts w:hint="eastAsia" w:ascii="宋体" w:hAnsi="宋体" w:eastAsia="宋体"/>
                <w:sz w:val="24"/>
                <w:szCs w:val="24"/>
              </w:rPr>
              <w:t>投资起点</w:t>
            </w:r>
          </w:p>
        </w:tc>
        <w:tc>
          <w:tcPr>
            <w:tcW w:w="6222" w:type="dxa"/>
            <w:gridSpan w:val="3"/>
            <w:vAlign w:val="top"/>
          </w:tcPr>
          <w:p>
            <w:pPr>
              <w:spacing w:line="360" w:lineRule="auto"/>
              <w:rPr>
                <w:rFonts w:ascii="宋体" w:hAnsi="宋体" w:eastAsia="宋体"/>
                <w:sz w:val="24"/>
                <w:szCs w:val="24"/>
              </w:rPr>
            </w:pPr>
            <w:r>
              <w:rPr>
                <w:rFonts w:hint="eastAsia" w:ascii="宋体" w:hAnsi="宋体" w:eastAsia="宋体"/>
                <w:sz w:val="24"/>
                <w:szCs w:val="24"/>
              </w:rPr>
              <w:t>人民币</w:t>
            </w:r>
            <w:r>
              <w:rPr>
                <w:rFonts w:hint="eastAsia" w:ascii="宋体" w:hAnsi="宋体" w:eastAsia="宋体"/>
                <w:sz w:val="24"/>
                <w:szCs w:val="24"/>
                <w:lang w:val="en-US" w:eastAsia="zh-CN"/>
              </w:rPr>
              <w:t>50</w:t>
            </w:r>
            <w:r>
              <w:rPr>
                <w:rFonts w:hint="eastAsia" w:ascii="宋体" w:hAnsi="宋体" w:eastAsia="宋体"/>
                <w:sz w:val="24"/>
                <w:szCs w:val="24"/>
              </w:rPr>
              <w:t>万元起，并以1</w:t>
            </w:r>
            <w:r>
              <w:rPr>
                <w:rFonts w:ascii="宋体" w:hAnsi="宋体" w:eastAsia="宋体"/>
                <w:sz w:val="24"/>
                <w:szCs w:val="24"/>
              </w:rPr>
              <w:t>0</w:t>
            </w:r>
            <w:r>
              <w:rPr>
                <w:rFonts w:hint="eastAsia" w:ascii="宋体" w:hAnsi="宋体" w:eastAsia="宋体"/>
                <w:sz w:val="24"/>
                <w:szCs w:val="24"/>
              </w:rPr>
              <w:t>万元的整数倍递增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pPr>
              <w:spacing w:line="360" w:lineRule="auto"/>
              <w:jc w:val="left"/>
              <w:rPr>
                <w:rFonts w:ascii="宋体" w:hAnsi="宋体" w:eastAsia="宋体"/>
                <w:sz w:val="24"/>
                <w:szCs w:val="24"/>
              </w:rPr>
            </w:pPr>
            <w:r>
              <w:rPr>
                <w:rFonts w:hint="eastAsia" w:ascii="宋体" w:hAnsi="宋体" w:eastAsia="宋体"/>
                <w:sz w:val="24"/>
                <w:szCs w:val="24"/>
              </w:rPr>
              <w:t>业绩基准</w:t>
            </w:r>
          </w:p>
        </w:tc>
        <w:tc>
          <w:tcPr>
            <w:tcW w:w="6222" w:type="dxa"/>
            <w:gridSpan w:val="3"/>
            <w:vAlign w:val="top"/>
          </w:tcPr>
          <w:p>
            <w:pPr>
              <w:numPr>
                <w:ilvl w:val="0"/>
                <w:numId w:val="0"/>
              </w:numPr>
              <w:spacing w:line="360" w:lineRule="auto"/>
              <w:rPr>
                <w:rFonts w:hint="eastAsia" w:ascii="宋体" w:hAnsi="宋体" w:eastAsia="宋体"/>
                <w:sz w:val="24"/>
                <w:szCs w:val="24"/>
                <w:highlight w:val="yellow"/>
                <w:lang w:val="en-US" w:eastAsia="zh-CN"/>
              </w:rPr>
            </w:pPr>
            <w:r>
              <w:rPr>
                <w:rFonts w:hint="eastAsia" w:ascii="宋体" w:hAnsi="宋体" w:eastAsia="宋体"/>
                <w:sz w:val="24"/>
                <w:szCs w:val="24"/>
                <w:highlight w:val="none"/>
                <w:lang w:val="en-US" w:eastAsia="zh-CN"/>
              </w:rPr>
              <w:t>3.30%/年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pPr>
              <w:spacing w:line="360" w:lineRule="auto"/>
              <w:jc w:val="left"/>
              <w:rPr>
                <w:rFonts w:ascii="宋体" w:hAnsi="宋体" w:eastAsia="宋体"/>
                <w:sz w:val="24"/>
                <w:szCs w:val="24"/>
              </w:rPr>
            </w:pPr>
            <w:r>
              <w:rPr>
                <w:rFonts w:hint="eastAsia" w:ascii="宋体" w:hAnsi="宋体" w:eastAsia="宋体"/>
                <w:sz w:val="24"/>
                <w:szCs w:val="24"/>
              </w:rPr>
              <w:t>代销规模</w:t>
            </w:r>
          </w:p>
        </w:tc>
        <w:tc>
          <w:tcPr>
            <w:tcW w:w="6222" w:type="dxa"/>
            <w:gridSpan w:val="3"/>
            <w:vAlign w:val="top"/>
          </w:tcPr>
          <w:p>
            <w:pPr>
              <w:spacing w:line="360" w:lineRule="auto"/>
              <w:rPr>
                <w:rFonts w:ascii="宋体" w:hAnsi="宋体" w:eastAsia="宋体"/>
                <w:sz w:val="24"/>
                <w:szCs w:val="24"/>
              </w:rPr>
            </w:pPr>
            <w:r>
              <w:rPr>
                <w:rFonts w:hint="eastAsia" w:ascii="宋体" w:hAnsi="宋体" w:eastAsia="宋体"/>
                <w:sz w:val="24"/>
                <w:szCs w:val="24"/>
                <w:lang w:val="en-US" w:eastAsia="zh-CN"/>
              </w:rPr>
              <w:t>本期不超过</w:t>
            </w:r>
            <w:r>
              <w:rPr>
                <w:rFonts w:hint="eastAsia" w:ascii="宋体" w:hAnsi="宋体" w:eastAsia="宋体"/>
                <w:color w:val="auto"/>
                <w:sz w:val="24"/>
                <w:szCs w:val="24"/>
                <w:lang w:val="en-US" w:eastAsia="zh-CN"/>
              </w:rPr>
              <w:t>18000</w:t>
            </w:r>
            <w:r>
              <w:rPr>
                <w:rFonts w:hint="eastAsia" w:ascii="宋体" w:hAnsi="宋体" w:eastAsia="宋体"/>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pPr>
              <w:spacing w:line="360" w:lineRule="auto"/>
              <w:jc w:val="left"/>
              <w:rPr>
                <w:rFonts w:ascii="宋体" w:hAnsi="宋体" w:eastAsia="宋体"/>
                <w:sz w:val="24"/>
                <w:szCs w:val="24"/>
              </w:rPr>
            </w:pPr>
            <w:r>
              <w:rPr>
                <w:rFonts w:hint="eastAsia" w:ascii="宋体" w:hAnsi="宋体" w:eastAsia="宋体"/>
                <w:sz w:val="24"/>
                <w:szCs w:val="24"/>
              </w:rPr>
              <w:t>退出方式</w:t>
            </w:r>
          </w:p>
        </w:tc>
        <w:tc>
          <w:tcPr>
            <w:tcW w:w="6222" w:type="dxa"/>
            <w:gridSpan w:val="3"/>
            <w:vAlign w:val="top"/>
          </w:tcPr>
          <w:p>
            <w:pPr>
              <w:spacing w:line="360" w:lineRule="auto"/>
              <w:rPr>
                <w:rFonts w:ascii="宋体" w:hAnsi="宋体" w:eastAsia="宋体"/>
                <w:sz w:val="24"/>
                <w:szCs w:val="24"/>
              </w:rPr>
            </w:pPr>
            <w:r>
              <w:rPr>
                <w:rFonts w:hint="eastAsia" w:ascii="宋体" w:hAnsi="宋体" w:eastAsia="宋体"/>
                <w:sz w:val="24"/>
                <w:szCs w:val="24"/>
              </w:rPr>
              <w:t>到期退出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pPr>
              <w:spacing w:line="360" w:lineRule="auto"/>
              <w:jc w:val="left"/>
              <w:rPr>
                <w:rFonts w:ascii="宋体" w:hAnsi="宋体" w:eastAsia="宋体"/>
                <w:sz w:val="24"/>
                <w:szCs w:val="24"/>
              </w:rPr>
            </w:pPr>
            <w:r>
              <w:rPr>
                <w:rFonts w:hint="eastAsia" w:ascii="宋体" w:hAnsi="宋体" w:eastAsia="宋体"/>
                <w:sz w:val="24"/>
                <w:szCs w:val="24"/>
              </w:rPr>
              <w:t>投资者费用</w:t>
            </w:r>
          </w:p>
        </w:tc>
        <w:tc>
          <w:tcPr>
            <w:tcW w:w="6222" w:type="dxa"/>
            <w:gridSpan w:val="3"/>
            <w:vAlign w:val="top"/>
          </w:tcPr>
          <w:p>
            <w:pPr>
              <w:spacing w:line="360" w:lineRule="auto"/>
              <w:rPr>
                <w:rFonts w:ascii="宋体" w:hAnsi="宋体" w:eastAsia="宋体"/>
                <w:sz w:val="24"/>
                <w:szCs w:val="24"/>
              </w:rPr>
            </w:pPr>
            <w:r>
              <w:rPr>
                <w:rFonts w:hint="eastAsia" w:ascii="宋体" w:hAnsi="宋体" w:eastAsia="宋体"/>
                <w:sz w:val="24"/>
                <w:szCs w:val="24"/>
              </w:rPr>
              <w:t>无认购、申购、到期赎回费用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pPr>
              <w:spacing w:line="360" w:lineRule="auto"/>
              <w:jc w:val="left"/>
              <w:rPr>
                <w:rFonts w:ascii="宋体" w:hAnsi="宋体" w:eastAsia="宋体"/>
                <w:sz w:val="24"/>
                <w:szCs w:val="24"/>
              </w:rPr>
            </w:pPr>
            <w:r>
              <w:rPr>
                <w:rFonts w:hint="eastAsia" w:ascii="宋体" w:hAnsi="宋体" w:eastAsia="宋体"/>
                <w:sz w:val="24"/>
                <w:szCs w:val="24"/>
              </w:rPr>
              <w:t>推荐部门</w:t>
            </w:r>
          </w:p>
        </w:tc>
        <w:tc>
          <w:tcPr>
            <w:tcW w:w="6222" w:type="dxa"/>
            <w:gridSpan w:val="3"/>
            <w:vAlign w:val="top"/>
          </w:tcPr>
          <w:p>
            <w:pPr>
              <w:spacing w:line="360" w:lineRule="auto"/>
              <w:rPr>
                <w:rFonts w:ascii="宋体" w:hAnsi="宋体" w:eastAsia="宋体"/>
                <w:sz w:val="24"/>
                <w:szCs w:val="24"/>
              </w:rPr>
            </w:pPr>
            <w:r>
              <w:rPr>
                <w:rFonts w:hint="eastAsia" w:ascii="宋体" w:hAnsi="宋体" w:eastAsia="宋体"/>
                <w:sz w:val="24"/>
                <w:szCs w:val="24"/>
                <w:lang w:eastAsia="zh-CN"/>
              </w:rPr>
              <w:t>资产管理</w:t>
            </w:r>
            <w:r>
              <w:rPr>
                <w:rFonts w:hint="eastAsia" w:ascii="宋体" w:hAnsi="宋体" w:eastAsia="宋体"/>
                <w:sz w:val="24"/>
                <w:szCs w:val="24"/>
              </w:rPr>
              <w:t>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pPr>
              <w:spacing w:line="360" w:lineRule="auto"/>
              <w:jc w:val="left"/>
              <w:rPr>
                <w:rFonts w:ascii="宋体" w:hAnsi="宋体" w:eastAsia="宋体"/>
                <w:sz w:val="24"/>
                <w:szCs w:val="24"/>
              </w:rPr>
            </w:pPr>
            <w:r>
              <w:rPr>
                <w:rFonts w:hint="eastAsia" w:ascii="宋体" w:hAnsi="宋体" w:eastAsia="宋体"/>
                <w:sz w:val="24"/>
                <w:szCs w:val="24"/>
              </w:rPr>
              <w:t>时间安排</w:t>
            </w:r>
          </w:p>
        </w:tc>
        <w:tc>
          <w:tcPr>
            <w:tcW w:w="6222" w:type="dxa"/>
            <w:gridSpan w:val="3"/>
            <w:vAlign w:val="top"/>
          </w:tcPr>
          <w:p>
            <w:pPr>
              <w:spacing w:line="360" w:lineRule="auto"/>
              <w:rPr>
                <w:rFonts w:ascii="宋体" w:hAnsi="宋体" w:eastAsia="宋体"/>
                <w:sz w:val="24"/>
                <w:szCs w:val="24"/>
                <w:highlight w:val="none"/>
              </w:rPr>
            </w:pPr>
            <w:r>
              <w:rPr>
                <w:rFonts w:hint="eastAsia" w:ascii="宋体" w:hAnsi="宋体" w:eastAsia="宋体"/>
                <w:sz w:val="24"/>
                <w:szCs w:val="24"/>
                <w:highlight w:val="none"/>
              </w:rPr>
              <w:t>募集期：</w:t>
            </w:r>
            <w:r>
              <w:rPr>
                <w:rFonts w:hint="eastAsia" w:ascii="宋体" w:hAnsi="宋体" w:eastAsia="宋体"/>
                <w:sz w:val="24"/>
                <w:szCs w:val="24"/>
                <w:highlight w:val="none"/>
                <w:lang w:val="en-US" w:eastAsia="zh-CN"/>
              </w:rPr>
              <w:t>2025年12月19日-12月22日</w:t>
            </w:r>
            <w:r>
              <w:rPr>
                <w:rFonts w:hint="eastAsia" w:ascii="宋体" w:hAnsi="宋体" w:eastAsia="宋体"/>
                <w:sz w:val="24"/>
                <w:szCs w:val="24"/>
                <w:highlight w:val="none"/>
              </w:rPr>
              <w:t>；</w:t>
            </w:r>
          </w:p>
          <w:p>
            <w:pPr>
              <w:spacing w:line="360" w:lineRule="auto"/>
              <w:rPr>
                <w:rFonts w:ascii="宋体" w:hAnsi="宋体" w:eastAsia="宋体"/>
                <w:sz w:val="24"/>
                <w:szCs w:val="24"/>
                <w:highlight w:val="none"/>
              </w:rPr>
            </w:pPr>
            <w:r>
              <w:rPr>
                <w:rFonts w:hint="eastAsia" w:ascii="宋体" w:hAnsi="宋体" w:eastAsia="宋体"/>
                <w:sz w:val="24"/>
                <w:szCs w:val="24"/>
                <w:highlight w:val="none"/>
              </w:rPr>
              <w:t>冷静期：</w:t>
            </w:r>
            <w:r>
              <w:rPr>
                <w:rFonts w:hint="eastAsia" w:ascii="宋体" w:hAnsi="宋体" w:eastAsia="宋体"/>
                <w:sz w:val="24"/>
                <w:szCs w:val="24"/>
                <w:highlight w:val="none"/>
                <w:lang w:val="en-US" w:eastAsia="zh-CN"/>
              </w:rPr>
              <w:t>2025</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12</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23</w:t>
            </w:r>
            <w:r>
              <w:rPr>
                <w:rFonts w:hint="eastAsia" w:ascii="宋体" w:hAnsi="宋体" w:eastAsia="宋体"/>
                <w:sz w:val="24"/>
                <w:szCs w:val="24"/>
                <w:highlight w:val="none"/>
              </w:rPr>
              <w:t>日；</w:t>
            </w:r>
          </w:p>
          <w:p>
            <w:pPr>
              <w:spacing w:line="360" w:lineRule="auto"/>
              <w:rPr>
                <w:rFonts w:ascii="宋体" w:hAnsi="宋体" w:eastAsia="宋体"/>
                <w:sz w:val="24"/>
                <w:szCs w:val="24"/>
                <w:highlight w:val="none"/>
              </w:rPr>
            </w:pPr>
            <w:r>
              <w:rPr>
                <w:rFonts w:hint="eastAsia" w:ascii="宋体" w:hAnsi="宋体" w:eastAsia="宋体"/>
                <w:sz w:val="24"/>
                <w:szCs w:val="24"/>
                <w:highlight w:val="none"/>
              </w:rPr>
              <w:t>起息日：</w:t>
            </w:r>
            <w:r>
              <w:rPr>
                <w:rFonts w:hint="eastAsia" w:ascii="宋体" w:hAnsi="宋体" w:eastAsia="宋体"/>
                <w:sz w:val="24"/>
                <w:szCs w:val="24"/>
                <w:highlight w:val="none"/>
                <w:lang w:val="en-US" w:eastAsia="zh-CN"/>
              </w:rPr>
              <w:t>2025</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12</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24</w:t>
            </w:r>
            <w:r>
              <w:rPr>
                <w:rFonts w:hint="eastAsia" w:ascii="宋体" w:hAnsi="宋体" w:eastAsia="宋体"/>
                <w:sz w:val="24"/>
                <w:szCs w:val="24"/>
                <w:highlight w:val="none"/>
              </w:rPr>
              <w:t>日；</w:t>
            </w:r>
          </w:p>
          <w:p>
            <w:pPr>
              <w:spacing w:line="360" w:lineRule="auto"/>
              <w:rPr>
                <w:rFonts w:hint="eastAsia" w:ascii="宋体" w:hAnsi="宋体" w:eastAsia="宋体"/>
                <w:sz w:val="24"/>
                <w:szCs w:val="24"/>
                <w:highlight w:val="none"/>
                <w:lang w:val="en-US" w:eastAsia="zh-CN"/>
              </w:rPr>
            </w:pPr>
            <w:r>
              <w:rPr>
                <w:rFonts w:hint="eastAsia" w:ascii="宋体" w:hAnsi="宋体" w:eastAsia="宋体"/>
                <w:sz w:val="24"/>
                <w:szCs w:val="24"/>
                <w:highlight w:val="none"/>
              </w:rPr>
              <w:t>到期日：</w:t>
            </w:r>
            <w:r>
              <w:rPr>
                <w:rFonts w:hint="eastAsia" w:ascii="宋体" w:hAnsi="宋体" w:eastAsia="宋体"/>
                <w:sz w:val="24"/>
                <w:szCs w:val="24"/>
                <w:highlight w:val="none"/>
                <w:lang w:val="en-US" w:eastAsia="zh-CN"/>
              </w:rPr>
              <w:t>2026</w:t>
            </w:r>
            <w:r>
              <w:rPr>
                <w:rFonts w:hint="eastAsia" w:ascii="宋体" w:hAnsi="宋体" w:eastAsia="宋体"/>
                <w:sz w:val="24"/>
                <w:szCs w:val="24"/>
                <w:highlight w:val="none"/>
              </w:rPr>
              <w:t>年</w:t>
            </w:r>
            <w:r>
              <w:rPr>
                <w:rFonts w:hint="eastAsia" w:ascii="宋体" w:hAnsi="宋体" w:eastAsia="宋体"/>
                <w:sz w:val="24"/>
                <w:szCs w:val="24"/>
                <w:highlight w:val="none"/>
                <w:lang w:val="en-US" w:eastAsia="zh-CN"/>
              </w:rPr>
              <w:t>12</w:t>
            </w:r>
            <w:r>
              <w:rPr>
                <w:rFonts w:hint="eastAsia" w:ascii="宋体" w:hAnsi="宋体" w:eastAsia="宋体"/>
                <w:sz w:val="24"/>
                <w:szCs w:val="24"/>
                <w:highlight w:val="none"/>
              </w:rPr>
              <w:t>月</w:t>
            </w:r>
            <w:r>
              <w:rPr>
                <w:rFonts w:hint="eastAsia" w:ascii="宋体" w:hAnsi="宋体" w:eastAsia="宋体"/>
                <w:sz w:val="24"/>
                <w:szCs w:val="24"/>
                <w:highlight w:val="none"/>
                <w:lang w:val="en-US" w:eastAsia="zh-CN"/>
              </w:rPr>
              <w:t>24</w:t>
            </w:r>
            <w:r>
              <w:rPr>
                <w:rFonts w:hint="eastAsia" w:ascii="宋体" w:hAnsi="宋体" w:eastAsia="宋体"/>
                <w:sz w:val="24"/>
                <w:szCs w:val="24"/>
                <w:highlight w:val="none"/>
              </w:rPr>
              <w:t>日</w:t>
            </w:r>
            <w:r>
              <w:rPr>
                <w:rFonts w:hint="eastAsia" w:ascii="宋体" w:hAnsi="宋体" w:eastAsia="宋体"/>
                <w:sz w:val="24"/>
                <w:szCs w:val="24"/>
                <w:highlight w:val="none"/>
                <w:lang w:eastAsia="zh-CN"/>
              </w:rPr>
              <w:t>。</w:t>
            </w:r>
          </w:p>
          <w:p>
            <w:pPr>
              <w:spacing w:line="360" w:lineRule="auto"/>
              <w:rPr>
                <w:rFonts w:ascii="宋体" w:hAnsi="宋体" w:eastAsia="宋体"/>
                <w:sz w:val="24"/>
                <w:szCs w:val="24"/>
              </w:rPr>
            </w:pPr>
            <w:r>
              <w:rPr>
                <w:rFonts w:hint="eastAsia" w:ascii="宋体" w:hAnsi="宋体" w:eastAsia="宋体"/>
                <w:sz w:val="24"/>
                <w:szCs w:val="24"/>
              </w:rPr>
              <w:t>（根据发行情况调整，以发行前要素为准</w:t>
            </w:r>
            <w:r>
              <w:rPr>
                <w:rFonts w:hint="eastAsia" w:ascii="宋体" w:hAnsi="宋体" w:eastAsia="宋体"/>
                <w:sz w:val="24"/>
                <w:szCs w:val="24"/>
                <w:lang w:eastAsia="zh-CN"/>
              </w:rPr>
              <w:t>，到期日遇节假日顺延</w:t>
            </w:r>
            <w:r>
              <w:rPr>
                <w:rFonts w:hint="eastAsia" w:ascii="宋体" w:hAnsi="宋体"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4" w:type="dxa"/>
            <w:vAlign w:val="center"/>
          </w:tcPr>
          <w:p>
            <w:pPr>
              <w:spacing w:line="360" w:lineRule="auto"/>
              <w:jc w:val="left"/>
              <w:rPr>
                <w:rFonts w:ascii="宋体" w:hAnsi="宋体" w:eastAsia="宋体"/>
                <w:sz w:val="24"/>
                <w:szCs w:val="24"/>
              </w:rPr>
            </w:pPr>
            <w:r>
              <w:rPr>
                <w:rFonts w:hint="eastAsia" w:ascii="宋体" w:hAnsi="宋体" w:eastAsia="宋体"/>
                <w:sz w:val="24"/>
                <w:szCs w:val="24"/>
              </w:rPr>
              <w:t>备注</w:t>
            </w:r>
          </w:p>
        </w:tc>
        <w:tc>
          <w:tcPr>
            <w:tcW w:w="6222" w:type="dxa"/>
            <w:gridSpan w:val="3"/>
            <w:vAlign w:val="top"/>
          </w:tcPr>
          <w:p>
            <w:pPr>
              <w:spacing w:line="360" w:lineRule="auto"/>
              <w:rPr>
                <w:rFonts w:hint="eastAsia" w:ascii="宋体" w:hAnsi="宋体" w:eastAsia="宋体"/>
                <w:sz w:val="24"/>
                <w:szCs w:val="24"/>
                <w:lang w:eastAsia="zh-CN"/>
              </w:rPr>
            </w:pPr>
            <w:r>
              <w:rPr>
                <w:rFonts w:hint="eastAsia" w:ascii="宋体" w:hAnsi="宋体" w:eastAsia="宋体"/>
                <w:sz w:val="24"/>
                <w:szCs w:val="24"/>
                <w:lang w:eastAsia="zh-CN"/>
              </w:rPr>
              <w:t>无</w:t>
            </w:r>
          </w:p>
        </w:tc>
      </w:tr>
    </w:tbl>
    <w:p>
      <w:pPr>
        <w:spacing w:line="360" w:lineRule="auto"/>
        <w:ind w:firstLine="420" w:firstLineChars="200"/>
        <w:rPr>
          <w:rFonts w:ascii="宋体" w:hAnsi="宋体" w:eastAsia="宋体"/>
        </w:rPr>
      </w:pPr>
      <w:r>
        <w:rPr>
          <w:rFonts w:hint="eastAsia" w:ascii="宋体" w:hAnsi="宋体" w:eastAsia="宋体"/>
        </w:rPr>
        <w:t>提示：本产品由</w:t>
      </w:r>
      <w:r>
        <w:rPr>
          <w:rFonts w:hint="eastAsia" w:ascii="宋体" w:hAnsi="宋体" w:eastAsia="宋体"/>
          <w:lang w:eastAsia="zh-CN"/>
        </w:rPr>
        <w:t>厦门</w:t>
      </w:r>
      <w:bookmarkStart w:id="0" w:name="_GoBack"/>
      <w:bookmarkEnd w:id="0"/>
      <w:r>
        <w:rPr>
          <w:rFonts w:hint="eastAsia" w:ascii="宋体" w:hAnsi="宋体" w:eastAsia="宋体"/>
          <w:lang w:eastAsia="zh-CN"/>
        </w:rPr>
        <w:t>国际信托有限公司</w:t>
      </w:r>
      <w:r>
        <w:rPr>
          <w:rFonts w:hint="eastAsia" w:ascii="宋体" w:hAnsi="宋体" w:eastAsia="宋体"/>
          <w:sz w:val="21"/>
          <w:szCs w:val="21"/>
        </w:rPr>
        <w:t>发</w:t>
      </w:r>
      <w:r>
        <w:rPr>
          <w:rFonts w:hint="eastAsia" w:ascii="宋体" w:hAnsi="宋体" w:eastAsia="宋体"/>
        </w:rPr>
        <w:t>行与管理，张家港农商行作为代销机构不承担产品的投资、兑付和风险管理责任</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86DD5"/>
    <w:rsid w:val="025B361B"/>
    <w:rsid w:val="06C867AC"/>
    <w:rsid w:val="07B54D24"/>
    <w:rsid w:val="09045EA6"/>
    <w:rsid w:val="09D873B4"/>
    <w:rsid w:val="0AC9473D"/>
    <w:rsid w:val="0B0B2C35"/>
    <w:rsid w:val="0B7F09E9"/>
    <w:rsid w:val="0CFF215F"/>
    <w:rsid w:val="11D9042D"/>
    <w:rsid w:val="11FD111F"/>
    <w:rsid w:val="12675A01"/>
    <w:rsid w:val="13935EAB"/>
    <w:rsid w:val="14831037"/>
    <w:rsid w:val="14AC0B76"/>
    <w:rsid w:val="161D32AB"/>
    <w:rsid w:val="164B3814"/>
    <w:rsid w:val="177E1C99"/>
    <w:rsid w:val="19B21C39"/>
    <w:rsid w:val="1B14057B"/>
    <w:rsid w:val="1C104F9B"/>
    <w:rsid w:val="1EA57152"/>
    <w:rsid w:val="1EAA105C"/>
    <w:rsid w:val="2178022A"/>
    <w:rsid w:val="21C4408A"/>
    <w:rsid w:val="23295820"/>
    <w:rsid w:val="26721CE7"/>
    <w:rsid w:val="2678162D"/>
    <w:rsid w:val="2B226752"/>
    <w:rsid w:val="2BB87367"/>
    <w:rsid w:val="2BE02FD4"/>
    <w:rsid w:val="2BE61D13"/>
    <w:rsid w:val="2DA509EF"/>
    <w:rsid w:val="2FA22A33"/>
    <w:rsid w:val="3059713E"/>
    <w:rsid w:val="3099554A"/>
    <w:rsid w:val="31784752"/>
    <w:rsid w:val="339F7DC0"/>
    <w:rsid w:val="342A79A4"/>
    <w:rsid w:val="345756CE"/>
    <w:rsid w:val="369E4EAA"/>
    <w:rsid w:val="379B18CA"/>
    <w:rsid w:val="38E70267"/>
    <w:rsid w:val="3A767A79"/>
    <w:rsid w:val="3B2E3FDA"/>
    <w:rsid w:val="3C631823"/>
    <w:rsid w:val="3E2D50E9"/>
    <w:rsid w:val="3EDB572F"/>
    <w:rsid w:val="3FCD053B"/>
    <w:rsid w:val="419E61C6"/>
    <w:rsid w:val="44FA2A29"/>
    <w:rsid w:val="46807FFC"/>
    <w:rsid w:val="46C774AF"/>
    <w:rsid w:val="47DB1BFB"/>
    <w:rsid w:val="4B01301B"/>
    <w:rsid w:val="4C27522D"/>
    <w:rsid w:val="4EC1275B"/>
    <w:rsid w:val="4ED66E64"/>
    <w:rsid w:val="4F9D0C5F"/>
    <w:rsid w:val="516B4063"/>
    <w:rsid w:val="52A1449A"/>
    <w:rsid w:val="52C80A3E"/>
    <w:rsid w:val="52D12EEC"/>
    <w:rsid w:val="53874F99"/>
    <w:rsid w:val="55846FDD"/>
    <w:rsid w:val="55E17CAD"/>
    <w:rsid w:val="56663D4D"/>
    <w:rsid w:val="56864602"/>
    <w:rsid w:val="570D2E0E"/>
    <w:rsid w:val="5786402B"/>
    <w:rsid w:val="57CD200C"/>
    <w:rsid w:val="58291F72"/>
    <w:rsid w:val="58C9604D"/>
    <w:rsid w:val="5A600155"/>
    <w:rsid w:val="5B355BAF"/>
    <w:rsid w:val="5C1879CD"/>
    <w:rsid w:val="5D8A6917"/>
    <w:rsid w:val="5E412C48"/>
    <w:rsid w:val="5E9D3FA9"/>
    <w:rsid w:val="5F296E4C"/>
    <w:rsid w:val="5F4147B1"/>
    <w:rsid w:val="606964BC"/>
    <w:rsid w:val="61B067D3"/>
    <w:rsid w:val="62035AC3"/>
    <w:rsid w:val="646002BB"/>
    <w:rsid w:val="64B965FD"/>
    <w:rsid w:val="653363A1"/>
    <w:rsid w:val="65BF14FC"/>
    <w:rsid w:val="67642FED"/>
    <w:rsid w:val="69F17C5C"/>
    <w:rsid w:val="6ADC6960"/>
    <w:rsid w:val="6C2700AF"/>
    <w:rsid w:val="6C307F0D"/>
    <w:rsid w:val="6FEE0786"/>
    <w:rsid w:val="729D4E7D"/>
    <w:rsid w:val="73A25E44"/>
    <w:rsid w:val="74756835"/>
    <w:rsid w:val="74884E3D"/>
    <w:rsid w:val="776543F7"/>
    <w:rsid w:val="777C3F16"/>
    <w:rsid w:val="789A0AEB"/>
    <w:rsid w:val="7C5F249A"/>
    <w:rsid w:val="7D38217E"/>
    <w:rsid w:val="7D9B661F"/>
    <w:rsid w:val="7F8E1D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黑体"/>
      <w:kern w:val="2"/>
      <w:sz w:val="21"/>
      <w:szCs w:val="22"/>
      <w:lang w:val="en-US" w:eastAsia="zh-CN" w:bidi="ar-SA"/>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
      <w:ind w:left="120"/>
    </w:pPr>
    <w:rPr>
      <w:sz w:val="24"/>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paragraph" w:customStyle="1" w:styleId="8">
    <w:name w:val="List Paragraph"/>
    <w:basedOn w:val="1"/>
    <w:qFormat/>
    <w:uiPriority w:val="0"/>
    <w:pPr>
      <w:ind w:firstLine="420" w:firstLineChars="200"/>
    </w:pPr>
  </w:style>
  <w:style w:type="paragraph" w:customStyle="1" w:styleId="9">
    <w:name w:val="Normal (Web)"/>
    <w:basedOn w:val="1"/>
    <w:qFormat/>
    <w:uiPriority w:val="0"/>
    <w:pPr>
      <w:spacing w:before="75" w:beforeAutospacing="0" w:after="75" w:afterAutospacing="0"/>
      <w:ind w:left="0" w:right="0"/>
      <w:jc w:val="left"/>
    </w:pPr>
    <w:rPr>
      <w:kern w:val="0"/>
      <w:sz w:val="24"/>
      <w:lang w:val="en-US" w:eastAsia="zh-CN"/>
    </w:rPr>
  </w:style>
  <w:style w:type="character" w:customStyle="1" w:styleId="10">
    <w:name w:val="页眉 字符"/>
    <w:basedOn w:val="6"/>
    <w:link w:val="4"/>
    <w:semiHidden/>
    <w:qFormat/>
    <w:uiPriority w:val="0"/>
    <w:rPr>
      <w:sz w:val="18"/>
      <w:szCs w:val="18"/>
    </w:rPr>
  </w:style>
  <w:style w:type="character" w:customStyle="1" w:styleId="11">
    <w:name w:val="页脚 字符"/>
    <w:basedOn w:val="6"/>
    <w:link w:val="3"/>
    <w:semiHidden/>
    <w:qFormat/>
    <w:uiPriority w:val="0"/>
    <w:rPr>
      <w:sz w:val="18"/>
      <w:szCs w:val="18"/>
    </w:rPr>
  </w:style>
  <w:style w:type="character" w:customStyle="1" w:styleId="12">
    <w:name w:val="page number"/>
    <w:qFormat/>
    <w:uiPriority w:val="0"/>
    <w:rPr>
      <w:rFonts w:ascii="Times New Roman" w:hAnsi="Times New Roman"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80</Words>
  <Characters>461</Characters>
  <Lines>3</Lines>
  <Paragraphs>1</Paragraphs>
  <TotalTime>7</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2023-05-26T06:46:00Z</dcterms:created>
  <dc:creator>岳 Young Yue</dc:creator>
  <cp:lastModifiedBy>zrcbank</cp:lastModifiedBy>
  <cp:lastPrinted>2024-07-09T17:17:00Z</cp:lastPrinted>
  <dcterms:modified xsi:type="dcterms:W3CDTF">2025-12-16T09:01:50Z</dcterms:modified>
  <dc:title>zrcbank</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6EC1988EA60A4A2EBDDAC89F11E7544B_13</vt:lpwstr>
  </property>
</Properties>
</file>