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37C5">
      <w:pPr>
        <w:spacing w:line="360" w:lineRule="auto"/>
        <w:jc w:val="center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华鑫信托·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睿科668</w:t>
      </w:r>
      <w:r>
        <w:rPr>
          <w:rFonts w:hint="eastAsia" w:ascii="宋体" w:hAnsi="宋体" w:eastAsia="宋体"/>
          <w:sz w:val="28"/>
          <w:szCs w:val="32"/>
        </w:rPr>
        <w:t>号集合资金信托计划要素</w:t>
      </w:r>
      <w:r>
        <w:rPr>
          <w:rFonts w:hint="eastAsia" w:ascii="宋体" w:hAnsi="宋体" w:eastAsia="宋体"/>
          <w:sz w:val="28"/>
          <w:szCs w:val="32"/>
          <w:lang w:eastAsia="zh-CN"/>
        </w:rPr>
        <w:t>表（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第四期</w:t>
      </w:r>
      <w:r>
        <w:rPr>
          <w:rFonts w:hint="eastAsia" w:ascii="宋体" w:hAnsi="宋体" w:eastAsia="宋体"/>
          <w:sz w:val="28"/>
          <w:szCs w:val="32"/>
          <w:lang w:eastAsia="zh-CN"/>
        </w:rPr>
        <w:t>）</w:t>
      </w:r>
    </w:p>
    <w:p w14:paraId="70781084">
      <w:pPr>
        <w:spacing w:line="360" w:lineRule="auto"/>
        <w:rPr>
          <w:rFonts w:ascii="宋体" w:hAnsi="宋体" w:eastAsia="宋体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607"/>
        <w:gridCol w:w="2835"/>
        <w:gridCol w:w="1780"/>
      </w:tblGrid>
      <w:tr w14:paraId="1E33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2AB74E0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产品名称、</w:t>
            </w:r>
          </w:p>
          <w:p w14:paraId="5FDA2374"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编码</w:t>
            </w:r>
          </w:p>
        </w:tc>
        <w:tc>
          <w:tcPr>
            <w:tcW w:w="6222" w:type="dxa"/>
            <w:gridSpan w:val="3"/>
            <w:vAlign w:val="top"/>
          </w:tcPr>
          <w:p w14:paraId="372CC2B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产品名称：华鑫信托·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睿科668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号集合资金信托计划</w:t>
            </w:r>
          </w:p>
          <w:p w14:paraId="367BE51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信托登记编码：ZXD202508180000006680</w:t>
            </w:r>
          </w:p>
        </w:tc>
      </w:tr>
      <w:tr w14:paraId="7607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7CE7BD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产品类型</w:t>
            </w:r>
          </w:p>
        </w:tc>
        <w:tc>
          <w:tcPr>
            <w:tcW w:w="6222" w:type="dxa"/>
            <w:gridSpan w:val="3"/>
            <w:vAlign w:val="top"/>
          </w:tcPr>
          <w:p w14:paraId="4396F3F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 w14:paraId="16C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2C44DB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风险等级</w:t>
            </w:r>
          </w:p>
        </w:tc>
        <w:tc>
          <w:tcPr>
            <w:tcW w:w="1607" w:type="dxa"/>
            <w:vAlign w:val="top"/>
          </w:tcPr>
          <w:p w14:paraId="1E1E7C7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  <w:tc>
          <w:tcPr>
            <w:tcW w:w="2835" w:type="dxa"/>
            <w:vAlign w:val="top"/>
          </w:tcPr>
          <w:p w14:paraId="5C227CF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  <w:vAlign w:val="top"/>
          </w:tcPr>
          <w:p w14:paraId="0631AFD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</w:tr>
      <w:tr w14:paraId="7E83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60A39E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受托管理人</w:t>
            </w:r>
          </w:p>
        </w:tc>
        <w:tc>
          <w:tcPr>
            <w:tcW w:w="6222" w:type="dxa"/>
            <w:gridSpan w:val="3"/>
            <w:vAlign w:val="top"/>
          </w:tcPr>
          <w:p w14:paraId="2F9D899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华鑫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国际信托有限公司</w:t>
            </w:r>
          </w:p>
        </w:tc>
      </w:tr>
      <w:tr w14:paraId="08D8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FAF818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存续期限</w:t>
            </w:r>
          </w:p>
        </w:tc>
        <w:tc>
          <w:tcPr>
            <w:tcW w:w="6222" w:type="dxa"/>
            <w:gridSpan w:val="3"/>
            <w:vAlign w:val="top"/>
          </w:tcPr>
          <w:p w14:paraId="52031B8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18个月</w:t>
            </w:r>
          </w:p>
        </w:tc>
      </w:tr>
      <w:tr w14:paraId="106B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C2B163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投资范围</w:t>
            </w:r>
          </w:p>
        </w:tc>
        <w:tc>
          <w:tcPr>
            <w:tcW w:w="6222" w:type="dxa"/>
            <w:gridSpan w:val="3"/>
            <w:vAlign w:val="top"/>
          </w:tcPr>
          <w:p w14:paraId="63F13D2E"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</w:t>
            </w:r>
            <w:bookmarkStart w:id="0" w:name="OLE_LINK1"/>
            <w:r>
              <w:rPr>
                <w:rFonts w:hint="eastAsia" w:ascii="宋体" w:hAnsi="宋体" w:eastAsia="宋体"/>
                <w:sz w:val="24"/>
                <w:szCs w:val="24"/>
              </w:rPr>
              <w:t>无锡市广益建发控股集团有限公司</w:t>
            </w:r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发放信托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贷款</w:t>
            </w:r>
          </w:p>
        </w:tc>
      </w:tr>
      <w:tr w14:paraId="6342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D35991A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增信措施</w:t>
            </w:r>
          </w:p>
        </w:tc>
        <w:tc>
          <w:tcPr>
            <w:tcW w:w="6222" w:type="dxa"/>
            <w:gridSpan w:val="3"/>
            <w:vAlign w:val="top"/>
          </w:tcPr>
          <w:p w14:paraId="7892E55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无锡市梁溪城市发展集团有限公司提供保证担保</w:t>
            </w:r>
          </w:p>
        </w:tc>
      </w:tr>
      <w:tr w14:paraId="0841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3E33E18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投资起点</w:t>
            </w:r>
          </w:p>
        </w:tc>
        <w:tc>
          <w:tcPr>
            <w:tcW w:w="6222" w:type="dxa"/>
            <w:gridSpan w:val="3"/>
            <w:vAlign w:val="top"/>
          </w:tcPr>
          <w:p w14:paraId="719A0DF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人民币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万元起，并以1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万元的整数倍递增</w:t>
            </w:r>
          </w:p>
        </w:tc>
      </w:tr>
      <w:tr w14:paraId="4474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BD8EEF4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业绩基准</w:t>
            </w:r>
          </w:p>
        </w:tc>
        <w:tc>
          <w:tcPr>
            <w:tcW w:w="6222" w:type="dxa"/>
            <w:gridSpan w:val="3"/>
            <w:vAlign w:val="top"/>
          </w:tcPr>
          <w:p w14:paraId="5AAE78A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3.35%/年</w:t>
            </w:r>
          </w:p>
        </w:tc>
      </w:tr>
      <w:tr w14:paraId="1733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9711D6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代销规模</w:t>
            </w:r>
          </w:p>
        </w:tc>
        <w:tc>
          <w:tcPr>
            <w:tcW w:w="6222" w:type="dxa"/>
            <w:gridSpan w:val="3"/>
            <w:vAlign w:val="top"/>
          </w:tcPr>
          <w:p w14:paraId="1688F3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本期不超过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8500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</w:tr>
      <w:tr w14:paraId="106F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F3E07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退出方式</w:t>
            </w:r>
          </w:p>
        </w:tc>
        <w:tc>
          <w:tcPr>
            <w:tcW w:w="6222" w:type="dxa"/>
            <w:gridSpan w:val="3"/>
            <w:vAlign w:val="top"/>
          </w:tcPr>
          <w:p w14:paraId="3BB2D19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到期退出</w:t>
            </w:r>
          </w:p>
        </w:tc>
      </w:tr>
      <w:tr w14:paraId="463A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D37670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投资者费用</w:t>
            </w:r>
          </w:p>
        </w:tc>
        <w:tc>
          <w:tcPr>
            <w:tcW w:w="6222" w:type="dxa"/>
            <w:gridSpan w:val="3"/>
            <w:vAlign w:val="top"/>
          </w:tcPr>
          <w:p w14:paraId="4375781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无认购、申购、到期赎回费用</w:t>
            </w:r>
          </w:p>
        </w:tc>
      </w:tr>
      <w:tr w14:paraId="6F47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CD7C80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推荐部门</w:t>
            </w:r>
          </w:p>
        </w:tc>
        <w:tc>
          <w:tcPr>
            <w:tcW w:w="6222" w:type="dxa"/>
            <w:gridSpan w:val="3"/>
            <w:vAlign w:val="top"/>
          </w:tcPr>
          <w:p w14:paraId="4F8E841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资产管理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</w:tc>
      </w:tr>
      <w:tr w14:paraId="5F37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3130F7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时间安排</w:t>
            </w:r>
          </w:p>
        </w:tc>
        <w:tc>
          <w:tcPr>
            <w:tcW w:w="6222" w:type="dxa"/>
            <w:gridSpan w:val="3"/>
            <w:vAlign w:val="top"/>
          </w:tcPr>
          <w:p w14:paraId="672039D2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募集期：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-7日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；</w:t>
            </w:r>
          </w:p>
          <w:p w14:paraId="5FBB9463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冷静期：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439CDD1A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起息日：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2AB896A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到期日：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2027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9CB913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（根据发行情况调整，以发行前要素为准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，到期日遇节假日顺延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2E54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16FAD80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3"/>
            <w:vAlign w:val="top"/>
          </w:tcPr>
          <w:p w14:paraId="21AA7F3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</w:tbl>
    <w:p w14:paraId="31335E62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提示：本产品由</w:t>
      </w:r>
      <w:r>
        <w:rPr>
          <w:rFonts w:hint="eastAsia" w:ascii="宋体" w:hAnsi="宋体" w:eastAsia="宋体"/>
          <w:lang w:val="en-US" w:eastAsia="zh-CN"/>
        </w:rPr>
        <w:t>华鑫</w:t>
      </w:r>
      <w:r>
        <w:rPr>
          <w:rFonts w:hint="eastAsia" w:ascii="宋体" w:hAnsi="宋体" w:eastAsia="宋体"/>
          <w:lang w:eastAsia="zh-CN"/>
        </w:rPr>
        <w:t>国际信托有限公司</w:t>
      </w:r>
      <w:r>
        <w:rPr>
          <w:rFonts w:hint="eastAsia" w:ascii="宋体" w:hAnsi="宋体" w:eastAsia="宋体"/>
          <w:sz w:val="21"/>
          <w:szCs w:val="21"/>
        </w:rPr>
        <w:t>发</w:t>
      </w:r>
      <w:r>
        <w:rPr>
          <w:rFonts w:hint="eastAsia" w:ascii="宋体" w:hAnsi="宋体" w:eastAsia="宋体"/>
        </w:rPr>
        <w:t>行与管理，张家港农商行作为代销机构不承担产品的投资、兑付和风险管理责任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6DD5"/>
    <w:rsid w:val="025B361B"/>
    <w:rsid w:val="06C867AC"/>
    <w:rsid w:val="09D873B4"/>
    <w:rsid w:val="0AC9473D"/>
    <w:rsid w:val="0B0B2C35"/>
    <w:rsid w:val="0B7F09E9"/>
    <w:rsid w:val="0CFF215F"/>
    <w:rsid w:val="0F49136A"/>
    <w:rsid w:val="11FD111F"/>
    <w:rsid w:val="13935EAB"/>
    <w:rsid w:val="13EB1E8D"/>
    <w:rsid w:val="14AC0B76"/>
    <w:rsid w:val="161D32AB"/>
    <w:rsid w:val="177E1C99"/>
    <w:rsid w:val="17D36900"/>
    <w:rsid w:val="1B14057B"/>
    <w:rsid w:val="1B6D668B"/>
    <w:rsid w:val="1EA57152"/>
    <w:rsid w:val="21585442"/>
    <w:rsid w:val="2178022A"/>
    <w:rsid w:val="23295820"/>
    <w:rsid w:val="26721CE7"/>
    <w:rsid w:val="2678162D"/>
    <w:rsid w:val="2B226752"/>
    <w:rsid w:val="2BE02FD4"/>
    <w:rsid w:val="2BE61D13"/>
    <w:rsid w:val="2DA509EF"/>
    <w:rsid w:val="2E924DF5"/>
    <w:rsid w:val="2FA22A33"/>
    <w:rsid w:val="3099554A"/>
    <w:rsid w:val="31C204AF"/>
    <w:rsid w:val="345756CE"/>
    <w:rsid w:val="369E4EAA"/>
    <w:rsid w:val="3A767A79"/>
    <w:rsid w:val="3B2E3FDA"/>
    <w:rsid w:val="3D02066E"/>
    <w:rsid w:val="3E2D50E9"/>
    <w:rsid w:val="3FCD053B"/>
    <w:rsid w:val="419E61C6"/>
    <w:rsid w:val="444F35A2"/>
    <w:rsid w:val="44FA2A29"/>
    <w:rsid w:val="46807FFC"/>
    <w:rsid w:val="46C774AF"/>
    <w:rsid w:val="47DB1BFB"/>
    <w:rsid w:val="4B01301B"/>
    <w:rsid w:val="4C27522D"/>
    <w:rsid w:val="4F9D0C5F"/>
    <w:rsid w:val="516B4063"/>
    <w:rsid w:val="52A1449A"/>
    <w:rsid w:val="52C80A3E"/>
    <w:rsid w:val="56864602"/>
    <w:rsid w:val="570D2E0E"/>
    <w:rsid w:val="5786402B"/>
    <w:rsid w:val="58C9604D"/>
    <w:rsid w:val="5B713816"/>
    <w:rsid w:val="5C1879CD"/>
    <w:rsid w:val="5D8A6917"/>
    <w:rsid w:val="5E9D3FA9"/>
    <w:rsid w:val="5F296E4C"/>
    <w:rsid w:val="5F4147B1"/>
    <w:rsid w:val="6048330E"/>
    <w:rsid w:val="609310C8"/>
    <w:rsid w:val="61B067D3"/>
    <w:rsid w:val="62035AC3"/>
    <w:rsid w:val="65BF14FC"/>
    <w:rsid w:val="67642FED"/>
    <w:rsid w:val="69F17C5C"/>
    <w:rsid w:val="6ADC6960"/>
    <w:rsid w:val="6C2700AF"/>
    <w:rsid w:val="6C307F0D"/>
    <w:rsid w:val="6FEE0786"/>
    <w:rsid w:val="73A25E44"/>
    <w:rsid w:val="74756835"/>
    <w:rsid w:val="74884E3D"/>
    <w:rsid w:val="776543F7"/>
    <w:rsid w:val="789A0AEB"/>
    <w:rsid w:val="7C5F249A"/>
    <w:rsid w:val="7D9B661F"/>
    <w:rsid w:val="7E8E7B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"/>
      <w:ind w:left="120"/>
    </w:pPr>
    <w:rPr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页眉 字符"/>
    <w:basedOn w:val="6"/>
    <w:link w:val="4"/>
    <w:semiHidden/>
    <w:qFormat/>
    <w:uiPriority w:val="0"/>
    <w:rPr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0"/>
    <w:rPr>
      <w:sz w:val="18"/>
      <w:szCs w:val="18"/>
    </w:rPr>
  </w:style>
  <w:style w:type="character" w:customStyle="1" w:styleId="12">
    <w:name w:val="page number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4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2023-05-26T06:46:00Z</dcterms:created>
  <dc:creator>岳 Young Yue</dc:creator>
  <cp:lastModifiedBy>zcy</cp:lastModifiedBy>
  <cp:lastPrinted>2024-07-09T17:17:00Z</cp:lastPrinted>
  <dcterms:modified xsi:type="dcterms:W3CDTF">2025-12-26T08:59:25Z</dcterms:modified>
  <dc:title>zrcbank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6EC1988EA60A4A2EBDDAC89F11E7544B_13</vt:lpwstr>
  </property>
</Properties>
</file>