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50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
      <w:tblGrid>
        <w:gridCol w:w="1"/>
        <w:gridCol w:w="800"/>
        <w:gridCol w:w="2000"/>
        <w:gridCol w:w="400"/>
        <w:gridCol w:w="400"/>
        <w:gridCol w:w="400"/>
        <w:gridCol w:w="20"/>
        <w:gridCol w:w="980"/>
        <w:gridCol w:w="1600"/>
        <w:gridCol w:w="400"/>
        <w:gridCol w:w="400"/>
        <w:gridCol w:w="220"/>
        <w:gridCol w:w="1380"/>
        <w:gridCol w:w="1700"/>
        <w:gridCol w:w="20"/>
        <w:gridCol w:w="780"/>
      </w:tblGrid>
      <w:tr>
        <w:trPr>
          <w:trHeight w:val="0" w:hRule="atLeast"/>
        </w:trPr>
        <w:tc>
          <w:tcPr>
            <w:tcW w:w="1" w:type="dxa"/>
            <w:vAlign w:val="top"/>
          </w:tcPr>
          <w:p>
            <w:pPr>
              <w:pStyle w:val="3"/>
            </w:pPr>
            <w:bookmarkStart w:id="0" w:name="JR_PAGE_ANCHOR_0_1"/>
            <w:bookmarkEnd w:id="0"/>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5"/>
            <w:vAlign w:val="top"/>
          </w:tcPr>
          <w:p>
            <w:pPr>
              <w:pStyle w:val="3"/>
            </w:pPr>
          </w:p>
        </w:tc>
        <w:tc>
          <w:tcPr>
            <w:tcW w:w="3300" w:type="dxa"/>
            <w:gridSpan w:val="3"/>
            <w:vAlign w:val="top"/>
          </w:tcPr>
          <w:p>
            <w:pPr>
              <w:pStyle w:val="3"/>
            </w:pPr>
          </w:p>
        </w:tc>
        <w:tc>
          <w:tcPr>
            <w:tcW w:w="800" w:type="dxa"/>
            <w:gridSpan w:val="2"/>
            <w:vAlign w:val="top"/>
          </w:tcPr>
          <w:p>
            <w:pPr>
              <w:pStyle w:val="3"/>
            </w:pPr>
          </w:p>
        </w:tc>
      </w:tr>
      <w:tr>
        <w:trPr>
          <w:trHeight w:val="180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“金港湾瑞享6号”定期报告</w:t>
            </w:r>
          </w:p>
        </w:tc>
        <w:tc>
          <w:tcPr>
            <w:tcW w:w="800" w:type="dxa"/>
            <w:gridSpan w:val="2"/>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5"/>
            <w:vAlign w:val="top"/>
          </w:tcPr>
          <w:p>
            <w:pPr>
              <w:pStyle w:val="3"/>
            </w:pPr>
          </w:p>
        </w:tc>
        <w:tc>
          <w:tcPr>
            <w:tcW w:w="3300" w:type="dxa"/>
            <w:gridSpan w:val="3"/>
            <w:vAlign w:val="top"/>
          </w:tcPr>
          <w:p>
            <w:pPr>
              <w:pStyle w:val="3"/>
            </w:pP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产品管理人：江苏张家港农村商业银行股份有限公司</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pPr>
              <w:rPr>
                <w:rFonts w:hint="eastAsia" w:eastAsia="原版宋体"/>
                <w:lang w:val="en-US" w:eastAsia="zh-CN"/>
              </w:rPr>
            </w:pPr>
            <w:r>
              <w:rPr>
                <w:rFonts w:ascii="原版宋体" w:hAnsi="原版宋体" w:eastAsia="原版宋体" w:cs="原版宋体"/>
                <w:color w:val="000000"/>
                <w:sz w:val="20"/>
              </w:rPr>
              <w:t>产品托管人：</w:t>
            </w:r>
            <w:r>
              <w:rPr>
                <w:rFonts w:hint="eastAsia" w:ascii="原版宋体" w:hAnsi="原版宋体" w:eastAsia="原版宋体" w:cs="原版宋体"/>
                <w:color w:val="000000"/>
                <w:sz w:val="20"/>
                <w:lang w:eastAsia="zh-CN"/>
              </w:rPr>
              <w:t>南京银行股份有限公司</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发布时间：2020年09月30日</w:t>
            </w:r>
          </w:p>
        </w:tc>
        <w:tc>
          <w:tcPr>
            <w:tcW w:w="800" w:type="dxa"/>
            <w:gridSpan w:val="2"/>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5"/>
            <w:vAlign w:val="top"/>
          </w:tcPr>
          <w:p>
            <w:pPr>
              <w:pStyle w:val="3"/>
            </w:pPr>
          </w:p>
        </w:tc>
        <w:tc>
          <w:tcPr>
            <w:tcW w:w="3300" w:type="dxa"/>
            <w:gridSpan w:val="3"/>
            <w:vAlign w:val="top"/>
          </w:tcPr>
          <w:p>
            <w:pPr>
              <w:pStyle w:val="3"/>
            </w:pPr>
          </w:p>
        </w:tc>
        <w:tc>
          <w:tcPr>
            <w:tcW w:w="800" w:type="dxa"/>
            <w:gridSpan w:val="2"/>
            <w:vAlign w:val="top"/>
          </w:tcPr>
          <w:p>
            <w:pPr>
              <w:pStyle w:val="3"/>
            </w:pPr>
          </w:p>
        </w:tc>
      </w:tr>
      <w:tr>
        <w:trPr>
          <w:trHeight w:val="5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本报告期自2020年07月01日起至09月30日止。</w:t>
            </w:r>
          </w:p>
        </w:tc>
        <w:tc>
          <w:tcPr>
            <w:tcW w:w="800" w:type="dxa"/>
            <w:gridSpan w:val="2"/>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5"/>
            <w:vAlign w:val="top"/>
          </w:tcPr>
          <w:p>
            <w:pPr>
              <w:pStyle w:val="3"/>
            </w:pPr>
          </w:p>
        </w:tc>
        <w:tc>
          <w:tcPr>
            <w:tcW w:w="3300" w:type="dxa"/>
            <w:gridSpan w:val="3"/>
            <w:vAlign w:val="top"/>
          </w:tcPr>
          <w:p>
            <w:pPr>
              <w:pStyle w:val="3"/>
            </w:pPr>
          </w:p>
        </w:tc>
        <w:tc>
          <w:tcPr>
            <w:tcW w:w="800" w:type="dxa"/>
            <w:gridSpan w:val="2"/>
            <w:vAlign w:val="top"/>
          </w:tcPr>
          <w:p>
            <w:pPr>
              <w:pStyle w:val="3"/>
            </w:pPr>
          </w:p>
        </w:tc>
      </w:tr>
      <w:tr>
        <w:trPr>
          <w:trHeight w:val="50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gridSpan w:val="2"/>
            <w:vAlign w:val="top"/>
          </w:tcPr>
          <w:p>
            <w:pPr>
              <w:pStyle w:val="3"/>
            </w:pPr>
          </w:p>
        </w:tc>
      </w:tr>
      <w:tr>
        <w:trPr>
          <w:trHeight w:val="8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金港湾瑞享6号</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RX06</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C1115619000070</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1,170,405,770.10</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ascii="原版宋体" w:hAnsi="原版宋体" w:eastAsia="原版宋体" w:cs="原版宋体"/>
                <w:b/>
                <w:color w:val="000000"/>
                <w:sz w:val="20"/>
              </w:rPr>
            </w:pPr>
            <w:r>
              <w:rPr>
                <w:rFonts w:hint="eastAsia" w:ascii="原版宋体" w:hAnsi="原版宋体" w:eastAsia="原版宋体" w:cs="原版宋体"/>
                <w:b/>
                <w:color w:val="000000"/>
                <w:sz w:val="20"/>
                <w:highlight w:val="none"/>
                <w:lang w:eastAsia="zh-CN"/>
              </w:rPr>
              <w:t>报告期末单位净值</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default" w:ascii="原版宋体" w:hAnsi="原版宋体" w:eastAsia="原版宋体" w:cs="原版宋体"/>
                <w:color w:val="000000"/>
                <w:sz w:val="20"/>
                <w:lang w:val="en-US" w:eastAsia="zh-CN"/>
              </w:rPr>
            </w:pPr>
            <w:r>
              <w:rPr>
                <w:rFonts w:hint="eastAsia" w:ascii="原版宋体" w:hAnsi="原版宋体" w:eastAsia="原版宋体" w:cs="原版宋体"/>
                <w:color w:val="000000"/>
                <w:sz w:val="20"/>
              </w:rPr>
              <w:t>1.</w:t>
            </w:r>
            <w:r>
              <w:rPr>
                <w:rFonts w:hint="eastAsia" w:ascii="原版宋体" w:hAnsi="原版宋体" w:eastAsia="原版宋体" w:cs="原版宋体"/>
                <w:color w:val="000000"/>
                <w:sz w:val="20"/>
                <w:lang w:val="en-US" w:eastAsia="zh-CN"/>
              </w:rPr>
              <w:t>0605</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ascii="原版宋体" w:hAnsi="原版宋体" w:eastAsia="原版宋体" w:cs="原版宋体"/>
                <w:b/>
                <w:color w:val="000000"/>
                <w:sz w:val="20"/>
              </w:rPr>
            </w:pPr>
            <w:r>
              <w:rPr>
                <w:rFonts w:hint="eastAsia" w:ascii="原版宋体" w:hAnsi="原版宋体" w:eastAsia="原版宋体" w:cs="原版宋体"/>
                <w:b/>
                <w:color w:val="000000"/>
                <w:sz w:val="20"/>
                <w:highlight w:val="none"/>
                <w:lang w:eastAsia="zh-CN"/>
              </w:rPr>
              <w:t>报告期末累计单位净值</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ascii="原版宋体" w:hAnsi="原版宋体" w:eastAsia="原版宋体" w:cs="原版宋体"/>
                <w:color w:val="000000"/>
                <w:sz w:val="20"/>
              </w:rPr>
            </w:pPr>
            <w:r>
              <w:rPr>
                <w:rFonts w:hint="eastAsia" w:ascii="原版宋体" w:hAnsi="原版宋体" w:eastAsia="原版宋体" w:cs="原版宋体"/>
                <w:color w:val="000000"/>
                <w:sz w:val="20"/>
              </w:rPr>
              <w:t>1.</w:t>
            </w:r>
            <w:r>
              <w:rPr>
                <w:rFonts w:hint="eastAsia" w:ascii="原版宋体" w:hAnsi="原版宋体" w:eastAsia="原版宋体" w:cs="原版宋体"/>
                <w:color w:val="000000"/>
                <w:sz w:val="20"/>
                <w:lang w:val="en-US" w:eastAsia="zh-CN"/>
              </w:rPr>
              <w:t>0605</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ascii="原版宋体" w:hAnsi="原版宋体" w:eastAsia="原版宋体" w:cs="原版宋体"/>
                <w:b/>
                <w:color w:val="000000"/>
                <w:sz w:val="20"/>
              </w:rPr>
            </w:pPr>
            <w:r>
              <w:rPr>
                <w:rFonts w:hint="eastAsia" w:ascii="原版宋体" w:hAnsi="原版宋体" w:eastAsia="原版宋体" w:cs="原版宋体"/>
                <w:b/>
                <w:color w:val="000000"/>
                <w:sz w:val="20"/>
                <w:highlight w:val="none"/>
                <w:lang w:eastAsia="zh-CN"/>
              </w:rPr>
              <w:t>报告期末净值增长率（年化）</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ascii="原版宋体" w:hAnsi="原版宋体" w:eastAsia="原版宋体" w:cs="原版宋体"/>
                <w:color w:val="000000"/>
                <w:sz w:val="20"/>
              </w:rPr>
            </w:pPr>
            <w:r>
              <w:rPr>
                <w:rFonts w:hint="eastAsia" w:ascii="原版宋体" w:hAnsi="原版宋体" w:eastAsia="原版宋体" w:cs="原版宋体"/>
                <w:color w:val="000000"/>
                <w:sz w:val="20"/>
                <w:lang w:val="en-US" w:eastAsia="zh-CN"/>
              </w:rPr>
              <w:t>4.41</w:t>
            </w:r>
            <w:r>
              <w:rPr>
                <w:rFonts w:hint="eastAsia" w:ascii="原版宋体" w:hAnsi="原版宋体" w:eastAsia="原版宋体" w:cs="原版宋体"/>
                <w:color w:val="000000"/>
                <w:sz w:val="20"/>
              </w:rPr>
              <w:t>%</w:t>
            </w:r>
          </w:p>
        </w:tc>
        <w:tc>
          <w:tcPr>
            <w:tcW w:w="800" w:type="dxa"/>
            <w:gridSpan w:val="2"/>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5"/>
            <w:vAlign w:val="top"/>
          </w:tcPr>
          <w:p>
            <w:pPr>
              <w:pStyle w:val="3"/>
            </w:pPr>
          </w:p>
        </w:tc>
        <w:tc>
          <w:tcPr>
            <w:tcW w:w="3300" w:type="dxa"/>
            <w:gridSpan w:val="3"/>
            <w:vAlign w:val="top"/>
          </w:tcPr>
          <w:p>
            <w:pPr>
              <w:pStyle w:val="3"/>
            </w:pPr>
          </w:p>
        </w:tc>
        <w:tc>
          <w:tcPr>
            <w:tcW w:w="800" w:type="dxa"/>
            <w:gridSpan w:val="2"/>
            <w:vAlign w:val="top"/>
          </w:tcPr>
          <w:p>
            <w:pPr>
              <w:pStyle w:val="3"/>
            </w:pPr>
          </w:p>
        </w:tc>
      </w:tr>
      <w:tr>
        <w:trPr>
          <w:trHeight w:val="50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投资组合报告</w:t>
            </w:r>
          </w:p>
        </w:tc>
        <w:tc>
          <w:tcPr>
            <w:tcW w:w="800" w:type="dxa"/>
            <w:gridSpan w:val="2"/>
            <w:vAlign w:val="top"/>
          </w:tcPr>
          <w:p>
            <w:pPr>
              <w:pStyle w:val="3"/>
            </w:pPr>
          </w:p>
        </w:tc>
      </w:tr>
      <w:tr>
        <w:trPr>
          <w:trHeight w:val="42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3.1 报告期末产品资产组合情况</w:t>
            </w:r>
          </w:p>
        </w:tc>
        <w:tc>
          <w:tcPr>
            <w:tcW w:w="800" w:type="dxa"/>
            <w:gridSpan w:val="2"/>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占资产组合比例（%）</w:t>
            </w:r>
          </w:p>
        </w:tc>
        <w:tc>
          <w:tcPr>
            <w:tcW w:w="800" w:type="dxa"/>
            <w:gridSpan w:val="2"/>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1,497,115,747.47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99.66%</w:t>
            </w:r>
          </w:p>
        </w:tc>
        <w:tc>
          <w:tcPr>
            <w:tcW w:w="800" w:type="dxa"/>
            <w:gridSpan w:val="2"/>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其中:银行间/交易所产品</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1,185,360,269.79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78.90%</w:t>
            </w:r>
          </w:p>
        </w:tc>
        <w:tc>
          <w:tcPr>
            <w:tcW w:w="800" w:type="dxa"/>
            <w:gridSpan w:val="2"/>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其中：回购</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109,618,575.58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7.30%</w:t>
            </w:r>
          </w:p>
        </w:tc>
        <w:tc>
          <w:tcPr>
            <w:tcW w:w="800" w:type="dxa"/>
            <w:gridSpan w:val="2"/>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非银行间/非交易所产品</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311,755,477.68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20.75%</w:t>
            </w:r>
          </w:p>
        </w:tc>
        <w:tc>
          <w:tcPr>
            <w:tcW w:w="800" w:type="dxa"/>
            <w:gridSpan w:val="2"/>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5,147,183.21</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0.34%</w:t>
            </w:r>
          </w:p>
        </w:tc>
        <w:tc>
          <w:tcPr>
            <w:tcW w:w="800" w:type="dxa"/>
            <w:gridSpan w:val="2"/>
            <w:vAlign w:val="top"/>
          </w:tcPr>
          <w:p>
            <w:pPr>
              <w:pStyle w:val="3"/>
            </w:pPr>
          </w:p>
        </w:tc>
      </w:tr>
      <w:tr>
        <w:trPr>
          <w:trHeight w:val="0" w:hRule="atLeast"/>
        </w:trPr>
        <w:tc>
          <w:tcPr>
            <w:tcW w:w="1" w:type="dxa"/>
            <w:vAlign w:val="top"/>
          </w:tcPr>
          <w:p>
            <w:pPr>
              <w:pStyle w:val="3"/>
              <w:pageBreakBefore/>
            </w:pPr>
            <w:bookmarkStart w:id="1" w:name="JR_PAGE_ANCHOR_0_2"/>
            <w:bookmarkEnd w:id="1"/>
          </w:p>
        </w:tc>
        <w:tc>
          <w:tcPr>
            <w:tcW w:w="800" w:type="dxa"/>
            <w:vAlign w:val="top"/>
          </w:tcPr>
          <w:p>
            <w:pPr>
              <w:pStyle w:val="3"/>
            </w:pPr>
          </w:p>
        </w:tc>
        <w:tc>
          <w:tcPr>
            <w:tcW w:w="2000" w:type="dxa"/>
            <w:vAlign w:val="top"/>
          </w:tcPr>
          <w:p>
            <w:pPr>
              <w:pStyle w:val="3"/>
            </w:pPr>
          </w:p>
        </w:tc>
        <w:tc>
          <w:tcPr>
            <w:tcW w:w="1200" w:type="dxa"/>
            <w:gridSpan w:val="3"/>
            <w:vAlign w:val="top"/>
          </w:tcPr>
          <w:p>
            <w:pPr>
              <w:pStyle w:val="3"/>
            </w:pPr>
          </w:p>
        </w:tc>
        <w:tc>
          <w:tcPr>
            <w:tcW w:w="20" w:type="dxa"/>
            <w:vAlign w:val="top"/>
          </w:tcPr>
          <w:p>
            <w:pPr>
              <w:pStyle w:val="3"/>
            </w:pPr>
          </w:p>
        </w:tc>
        <w:tc>
          <w:tcPr>
            <w:tcW w:w="980" w:type="dxa"/>
            <w:vAlign w:val="top"/>
          </w:tcPr>
          <w:p>
            <w:pPr>
              <w:pStyle w:val="3"/>
            </w:pPr>
          </w:p>
        </w:tc>
        <w:tc>
          <w:tcPr>
            <w:tcW w:w="2000" w:type="dxa"/>
            <w:gridSpan w:val="2"/>
            <w:vAlign w:val="top"/>
          </w:tcPr>
          <w:p>
            <w:pPr>
              <w:pStyle w:val="3"/>
            </w:pPr>
          </w:p>
        </w:tc>
        <w:tc>
          <w:tcPr>
            <w:tcW w:w="400" w:type="dxa"/>
            <w:vAlign w:val="top"/>
          </w:tcPr>
          <w:p>
            <w:pPr>
              <w:pStyle w:val="3"/>
            </w:pPr>
          </w:p>
        </w:tc>
        <w:tc>
          <w:tcPr>
            <w:tcW w:w="220" w:type="dxa"/>
            <w:vAlign w:val="top"/>
          </w:tcPr>
          <w:p>
            <w:pPr>
              <w:pStyle w:val="3"/>
            </w:pPr>
          </w:p>
        </w:tc>
        <w:tc>
          <w:tcPr>
            <w:tcW w:w="1380" w:type="dxa"/>
            <w:vAlign w:val="top"/>
          </w:tcPr>
          <w:p>
            <w:pPr>
              <w:pStyle w:val="3"/>
            </w:pPr>
          </w:p>
        </w:tc>
        <w:tc>
          <w:tcPr>
            <w:tcW w:w="1700" w:type="dxa"/>
            <w:vAlign w:val="top"/>
          </w:tcPr>
          <w:p>
            <w:pPr>
              <w:pStyle w:val="3"/>
            </w:pP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1,502,262,930.68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20" w:type="dxa"/>
            <w:vAlign w:val="top"/>
          </w:tcPr>
          <w:p>
            <w:pPr>
              <w:pStyle w:val="3"/>
            </w:pPr>
          </w:p>
        </w:tc>
        <w:tc>
          <w:tcPr>
            <w:tcW w:w="780" w:type="dxa"/>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1200" w:type="dxa"/>
            <w:gridSpan w:val="3"/>
            <w:vAlign w:val="top"/>
          </w:tcPr>
          <w:p>
            <w:pPr>
              <w:pStyle w:val="3"/>
            </w:pPr>
          </w:p>
        </w:tc>
        <w:tc>
          <w:tcPr>
            <w:tcW w:w="20" w:type="dxa"/>
            <w:vAlign w:val="top"/>
          </w:tcPr>
          <w:p>
            <w:pPr>
              <w:pStyle w:val="3"/>
            </w:pPr>
          </w:p>
        </w:tc>
        <w:tc>
          <w:tcPr>
            <w:tcW w:w="980" w:type="dxa"/>
            <w:vAlign w:val="top"/>
          </w:tcPr>
          <w:p>
            <w:pPr>
              <w:pStyle w:val="3"/>
            </w:pPr>
          </w:p>
        </w:tc>
        <w:tc>
          <w:tcPr>
            <w:tcW w:w="2000" w:type="dxa"/>
            <w:gridSpan w:val="2"/>
            <w:vAlign w:val="top"/>
          </w:tcPr>
          <w:p>
            <w:pPr>
              <w:pStyle w:val="3"/>
            </w:pPr>
          </w:p>
        </w:tc>
        <w:tc>
          <w:tcPr>
            <w:tcW w:w="400" w:type="dxa"/>
            <w:vAlign w:val="top"/>
          </w:tcPr>
          <w:p>
            <w:pPr>
              <w:pStyle w:val="3"/>
            </w:pPr>
          </w:p>
        </w:tc>
        <w:tc>
          <w:tcPr>
            <w:tcW w:w="220" w:type="dxa"/>
            <w:vAlign w:val="top"/>
          </w:tcPr>
          <w:p>
            <w:pPr>
              <w:pStyle w:val="3"/>
            </w:pPr>
          </w:p>
        </w:tc>
        <w:tc>
          <w:tcPr>
            <w:tcW w:w="1380" w:type="dxa"/>
            <w:vAlign w:val="top"/>
          </w:tcPr>
          <w:p>
            <w:pPr>
              <w:pStyle w:val="3"/>
            </w:pPr>
          </w:p>
        </w:tc>
        <w:tc>
          <w:tcPr>
            <w:tcW w:w="1700" w:type="dxa"/>
            <w:vAlign w:val="top"/>
          </w:tcPr>
          <w:p>
            <w:pPr>
              <w:pStyle w:val="3"/>
            </w:pP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3.2 报告期末按债券品种分类的债券投资组合</w:t>
            </w: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占资产组合比例（%）</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193,434,458.63</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12.88%</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51,211,928.77</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3.41%</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862,301,865.72</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57.40%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20,00</w:t>
            </w:r>
            <w:bookmarkStart w:id="3" w:name="_GoBack"/>
            <w:bookmarkEnd w:id="3"/>
            <w:r>
              <w:rPr>
                <w:rFonts w:ascii="原版宋体" w:hAnsi="原版宋体" w:eastAsia="原版宋体" w:cs="原版宋体"/>
                <w:color w:val="000000"/>
                <w:sz w:val="20"/>
              </w:rPr>
              <w:t>5,369.86</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1.33%</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1,075,741,694.21</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71.61%</w:t>
            </w:r>
          </w:p>
        </w:tc>
        <w:tc>
          <w:tcPr>
            <w:tcW w:w="780" w:type="dxa"/>
            <w:vAlign w:val="top"/>
          </w:tcPr>
          <w:p>
            <w:pPr>
              <w:pStyle w:val="3"/>
            </w:pPr>
          </w:p>
        </w:tc>
      </w:tr>
      <w:tr>
        <w:trPr>
          <w:trHeight w:val="118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1200" w:type="dxa"/>
            <w:gridSpan w:val="3"/>
            <w:vAlign w:val="top"/>
          </w:tcPr>
          <w:p>
            <w:pPr>
              <w:pStyle w:val="3"/>
            </w:pPr>
          </w:p>
        </w:tc>
        <w:tc>
          <w:tcPr>
            <w:tcW w:w="20" w:type="dxa"/>
            <w:vAlign w:val="top"/>
          </w:tcPr>
          <w:p>
            <w:pPr>
              <w:pStyle w:val="3"/>
            </w:pPr>
          </w:p>
        </w:tc>
        <w:tc>
          <w:tcPr>
            <w:tcW w:w="980" w:type="dxa"/>
            <w:vAlign w:val="top"/>
          </w:tcPr>
          <w:p>
            <w:pPr>
              <w:pStyle w:val="3"/>
            </w:pPr>
          </w:p>
        </w:tc>
        <w:tc>
          <w:tcPr>
            <w:tcW w:w="2000" w:type="dxa"/>
            <w:gridSpan w:val="2"/>
            <w:vAlign w:val="top"/>
          </w:tcPr>
          <w:p>
            <w:pPr>
              <w:pStyle w:val="3"/>
            </w:pPr>
          </w:p>
        </w:tc>
        <w:tc>
          <w:tcPr>
            <w:tcW w:w="400" w:type="dxa"/>
            <w:vAlign w:val="top"/>
          </w:tcPr>
          <w:p>
            <w:pPr>
              <w:pStyle w:val="3"/>
            </w:pPr>
          </w:p>
        </w:tc>
        <w:tc>
          <w:tcPr>
            <w:tcW w:w="220" w:type="dxa"/>
            <w:vAlign w:val="top"/>
          </w:tcPr>
          <w:p>
            <w:pPr>
              <w:pStyle w:val="3"/>
            </w:pPr>
          </w:p>
        </w:tc>
        <w:tc>
          <w:tcPr>
            <w:tcW w:w="1380" w:type="dxa"/>
            <w:vAlign w:val="top"/>
          </w:tcPr>
          <w:p>
            <w:pPr>
              <w:pStyle w:val="3"/>
            </w:pPr>
          </w:p>
        </w:tc>
        <w:tc>
          <w:tcPr>
            <w:tcW w:w="1700" w:type="dxa"/>
            <w:vAlign w:val="top"/>
          </w:tcPr>
          <w:p>
            <w:pPr>
              <w:pStyle w:val="3"/>
            </w:pP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3.3 报告期末按市值占产品资产净值比例大小排名的前十名资产投资明细</w:t>
            </w:r>
          </w:p>
        </w:tc>
        <w:tc>
          <w:tcPr>
            <w:tcW w:w="20" w:type="dxa"/>
            <w:vAlign w:val="top"/>
          </w:tcPr>
          <w:p>
            <w:pPr>
              <w:pStyle w:val="3"/>
            </w:pPr>
          </w:p>
        </w:tc>
        <w:tc>
          <w:tcPr>
            <w:tcW w:w="78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20" w:type="dxa"/>
            <w:vAlign w:val="top"/>
          </w:tcPr>
          <w:p>
            <w:pPr>
              <w:pStyle w:val="3"/>
            </w:pPr>
          </w:p>
        </w:tc>
        <w:tc>
          <w:tcPr>
            <w:tcW w:w="780" w:type="dxa"/>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回购</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119,000,000.00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109,618,575.58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8.83%</w:t>
            </w:r>
          </w:p>
        </w:tc>
        <w:tc>
          <w:tcPr>
            <w:tcW w:w="20" w:type="dxa"/>
            <w:vAlign w:val="top"/>
          </w:tcPr>
          <w:p>
            <w:pPr>
              <w:pStyle w:val="3"/>
            </w:pPr>
          </w:p>
        </w:tc>
        <w:tc>
          <w:tcPr>
            <w:tcW w:w="780" w:type="dxa"/>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180208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18国开08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51,211,928.77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4.13%</w:t>
            </w:r>
          </w:p>
        </w:tc>
        <w:tc>
          <w:tcPr>
            <w:tcW w:w="20" w:type="dxa"/>
            <w:vAlign w:val="top"/>
          </w:tcPr>
          <w:p>
            <w:pPr>
              <w:pStyle w:val="3"/>
            </w:pPr>
          </w:p>
        </w:tc>
        <w:tc>
          <w:tcPr>
            <w:tcW w:w="780" w:type="dxa"/>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101758044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17吴中经发MTN001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50,674,120.41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4.08%</w:t>
            </w:r>
          </w:p>
        </w:tc>
        <w:tc>
          <w:tcPr>
            <w:tcW w:w="20" w:type="dxa"/>
            <w:vAlign w:val="top"/>
          </w:tcPr>
          <w:p>
            <w:pPr>
              <w:pStyle w:val="3"/>
            </w:pPr>
          </w:p>
        </w:tc>
        <w:tc>
          <w:tcPr>
            <w:tcW w:w="780" w:type="dxa"/>
            <w:vAlign w:val="top"/>
          </w:tcPr>
          <w:p>
            <w:pPr>
              <w:pStyle w:val="3"/>
            </w:pPr>
          </w:p>
        </w:tc>
      </w:tr>
      <w:tr>
        <w:trPr>
          <w:trHeight w:val="68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19088162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金华市城市建设投资集团有限公司2019年度第一期理财直接融资工具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50,565,753.42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4.07%</w:t>
            </w:r>
          </w:p>
        </w:tc>
        <w:tc>
          <w:tcPr>
            <w:tcW w:w="20" w:type="dxa"/>
            <w:vAlign w:val="top"/>
          </w:tcPr>
          <w:p>
            <w:pPr>
              <w:pStyle w:val="3"/>
            </w:pPr>
          </w:p>
        </w:tc>
        <w:tc>
          <w:tcPr>
            <w:tcW w:w="780" w:type="dxa"/>
            <w:vAlign w:val="top"/>
          </w:tcPr>
          <w:p>
            <w:pPr>
              <w:pStyle w:val="3"/>
            </w:pPr>
          </w:p>
        </w:tc>
      </w:tr>
      <w:tr>
        <w:trPr>
          <w:trHeight w:val="68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5</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20088079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南通滨海园区控股发展有限公司2020年度第2期理财直接融资工具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50,431,506.85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4.06%</w:t>
            </w:r>
          </w:p>
        </w:tc>
        <w:tc>
          <w:tcPr>
            <w:tcW w:w="20" w:type="dxa"/>
            <w:vAlign w:val="top"/>
          </w:tcPr>
          <w:p>
            <w:pPr>
              <w:pStyle w:val="3"/>
            </w:pPr>
          </w:p>
        </w:tc>
        <w:tc>
          <w:tcPr>
            <w:tcW w:w="780" w:type="dxa"/>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6</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031771030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17无锡山水PPN001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50,321,048.32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4.05%</w:t>
            </w:r>
          </w:p>
        </w:tc>
        <w:tc>
          <w:tcPr>
            <w:tcW w:w="20" w:type="dxa"/>
            <w:vAlign w:val="top"/>
          </w:tcPr>
          <w:p>
            <w:pPr>
              <w:pStyle w:val="3"/>
            </w:pPr>
          </w:p>
        </w:tc>
        <w:tc>
          <w:tcPr>
            <w:tcW w:w="780" w:type="dxa"/>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7</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091900016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19国泰君安金融债01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50,272,124.66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4.05%</w:t>
            </w:r>
          </w:p>
        </w:tc>
        <w:tc>
          <w:tcPr>
            <w:tcW w:w="20" w:type="dxa"/>
            <w:vAlign w:val="top"/>
          </w:tcPr>
          <w:p>
            <w:pPr>
              <w:pStyle w:val="3"/>
            </w:pPr>
          </w:p>
        </w:tc>
        <w:tc>
          <w:tcPr>
            <w:tcW w:w="780" w:type="dxa"/>
            <w:vAlign w:val="top"/>
          </w:tcPr>
          <w:p>
            <w:pPr>
              <w:pStyle w:val="3"/>
            </w:pPr>
          </w:p>
        </w:tc>
      </w:tr>
      <w:tr>
        <w:trPr>
          <w:trHeight w:val="68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8</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19088188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南京安居建设集团有限责任公司2019年度第三期理财直接融资工具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50,169,722.22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4.04%</w:t>
            </w:r>
          </w:p>
        </w:tc>
        <w:tc>
          <w:tcPr>
            <w:tcW w:w="20" w:type="dxa"/>
            <w:vAlign w:val="top"/>
          </w:tcPr>
          <w:p>
            <w:pPr>
              <w:pStyle w:val="3"/>
            </w:pPr>
          </w:p>
        </w:tc>
        <w:tc>
          <w:tcPr>
            <w:tcW w:w="780" w:type="dxa"/>
            <w:vAlign w:val="top"/>
          </w:tcPr>
          <w:p>
            <w:pPr>
              <w:pStyle w:val="3"/>
            </w:pPr>
          </w:p>
        </w:tc>
      </w:tr>
      <w:tr>
        <w:trPr>
          <w:trHeight w:val="9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9</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19088138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苏州市相城交通建设投资（集团）有限公司2019年度第二期理财直接融资工具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50,027,417.38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4.03%</w:t>
            </w:r>
          </w:p>
        </w:tc>
        <w:tc>
          <w:tcPr>
            <w:tcW w:w="20" w:type="dxa"/>
            <w:vAlign w:val="top"/>
          </w:tcPr>
          <w:p>
            <w:pPr>
              <w:pStyle w:val="3"/>
            </w:pPr>
          </w:p>
        </w:tc>
        <w:tc>
          <w:tcPr>
            <w:tcW w:w="780" w:type="dxa"/>
            <w:vAlign w:val="top"/>
          </w:tcPr>
          <w:p>
            <w:pPr>
              <w:pStyle w:val="3"/>
            </w:pPr>
          </w:p>
        </w:tc>
      </w:tr>
      <w:tr>
        <w:trPr>
          <w:trHeight w:val="9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10</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19088149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杭州富阳城市建设投资集团有限公司2019年度第一期理财直接融资工具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50,022,581.70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4.03%</w:t>
            </w:r>
          </w:p>
        </w:tc>
        <w:tc>
          <w:tcPr>
            <w:tcW w:w="20" w:type="dxa"/>
            <w:vAlign w:val="top"/>
          </w:tcPr>
          <w:p>
            <w:pPr>
              <w:pStyle w:val="3"/>
            </w:pPr>
          </w:p>
        </w:tc>
        <w:tc>
          <w:tcPr>
            <w:tcW w:w="780" w:type="dxa"/>
            <w:vAlign w:val="top"/>
          </w:tcPr>
          <w:p>
            <w:pPr>
              <w:pStyle w:val="3"/>
            </w:pPr>
          </w:p>
        </w:tc>
      </w:tr>
      <w:tr>
        <w:trPr>
          <w:trHeight w:val="0" w:hRule="atLeast"/>
        </w:trPr>
        <w:tc>
          <w:tcPr>
            <w:tcW w:w="1" w:type="dxa"/>
            <w:vAlign w:val="top"/>
          </w:tcPr>
          <w:p>
            <w:pPr>
              <w:pStyle w:val="3"/>
              <w:pageBreakBefore/>
            </w:pPr>
            <w:bookmarkStart w:id="2" w:name="JR_PAGE_ANCHOR_0_3"/>
            <w:bookmarkEnd w:id="2"/>
          </w:p>
        </w:tc>
        <w:tc>
          <w:tcPr>
            <w:tcW w:w="3200" w:type="dxa"/>
            <w:gridSpan w:val="3"/>
            <w:vAlign w:val="top"/>
          </w:tcPr>
          <w:p>
            <w:pPr>
              <w:pStyle w:val="3"/>
            </w:pPr>
          </w:p>
        </w:tc>
        <w:tc>
          <w:tcPr>
            <w:tcW w:w="3400" w:type="dxa"/>
            <w:gridSpan w:val="5"/>
            <w:vAlign w:val="top"/>
          </w:tcPr>
          <w:p>
            <w:pPr>
              <w:pStyle w:val="3"/>
            </w:pPr>
          </w:p>
        </w:tc>
        <w:tc>
          <w:tcPr>
            <w:tcW w:w="4100" w:type="dxa"/>
            <w:gridSpan w:val="5"/>
            <w:vAlign w:val="top"/>
          </w:tcPr>
          <w:p>
            <w:pPr>
              <w:pStyle w:val="3"/>
            </w:pP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3.4 报告期末资产组合流动性风险分析</w:t>
            </w:r>
          </w:p>
        </w:tc>
        <w:tc>
          <w:tcPr>
            <w:tcW w:w="800" w:type="dxa"/>
            <w:gridSpan w:val="2"/>
            <w:vAlign w:val="top"/>
          </w:tcPr>
          <w:p>
            <w:pPr>
              <w:pStyle w:val="3"/>
            </w:pPr>
          </w:p>
        </w:tc>
      </w:tr>
      <w:tr>
        <w:trPr>
          <w:trHeight w:val="400" w:hRule="exact"/>
        </w:trPr>
        <w:tc>
          <w:tcPr>
            <w:tcW w:w="1" w:type="dxa"/>
            <w:vAlign w:val="top"/>
          </w:tcPr>
          <w:p>
            <w:pPr>
              <w:pStyle w:val="3"/>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流动性资产市值（元）</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产品资产净值（元）</w:t>
            </w:r>
          </w:p>
        </w:tc>
        <w:tc>
          <w:tcPr>
            <w:tcW w:w="41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流动性资产占比（%）</w:t>
            </w:r>
          </w:p>
        </w:tc>
        <w:tc>
          <w:tcPr>
            <w:tcW w:w="800" w:type="dxa"/>
            <w:gridSpan w:val="2"/>
            <w:vAlign w:val="top"/>
          </w:tcPr>
          <w:p>
            <w:pPr>
              <w:pStyle w:val="3"/>
            </w:pPr>
          </w:p>
        </w:tc>
      </w:tr>
      <w:tr>
        <w:trPr>
          <w:trHeight w:val="400" w:hRule="exact"/>
        </w:trPr>
        <w:tc>
          <w:tcPr>
            <w:tcW w:w="1" w:type="dxa"/>
            <w:vAlign w:val="top"/>
          </w:tcPr>
          <w:p>
            <w:pPr>
              <w:pStyle w:val="3"/>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56,359,111.98</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1,241,242,983.00</w:t>
            </w:r>
          </w:p>
        </w:tc>
        <w:tc>
          <w:tcPr>
            <w:tcW w:w="41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4.54%</w:t>
            </w:r>
          </w:p>
        </w:tc>
        <w:tc>
          <w:tcPr>
            <w:tcW w:w="800" w:type="dxa"/>
            <w:gridSpan w:val="2"/>
            <w:vAlign w:val="top"/>
          </w:tcPr>
          <w:p>
            <w:pPr>
              <w:pStyle w:val="3"/>
            </w:pPr>
          </w:p>
        </w:tc>
      </w:tr>
      <w:tr>
        <w:trPr>
          <w:trHeight w:val="820" w:hRule="exact"/>
        </w:trPr>
        <w:tc>
          <w:tcPr>
            <w:tcW w:w="1" w:type="dxa"/>
            <w:vAlign w:val="top"/>
          </w:tcPr>
          <w:p>
            <w:pPr>
              <w:pStyle w:val="3"/>
            </w:pPr>
          </w:p>
        </w:tc>
        <w:tc>
          <w:tcPr>
            <w:tcW w:w="3200" w:type="dxa"/>
            <w:gridSpan w:val="3"/>
            <w:vAlign w:val="top"/>
          </w:tcPr>
          <w:p>
            <w:pPr>
              <w:pStyle w:val="3"/>
            </w:pPr>
          </w:p>
        </w:tc>
        <w:tc>
          <w:tcPr>
            <w:tcW w:w="3400" w:type="dxa"/>
            <w:gridSpan w:val="5"/>
            <w:vAlign w:val="top"/>
          </w:tcPr>
          <w:p>
            <w:pPr>
              <w:pStyle w:val="3"/>
            </w:pPr>
          </w:p>
        </w:tc>
        <w:tc>
          <w:tcPr>
            <w:tcW w:w="4100" w:type="dxa"/>
            <w:gridSpan w:val="5"/>
            <w:vAlign w:val="top"/>
          </w:tcPr>
          <w:p>
            <w:pPr>
              <w:pStyle w:val="3"/>
            </w:pPr>
          </w:p>
        </w:tc>
        <w:tc>
          <w:tcPr>
            <w:tcW w:w="800" w:type="dxa"/>
            <w:gridSpan w:val="2"/>
            <w:vAlign w:val="top"/>
          </w:tcPr>
          <w:p>
            <w:pPr>
              <w:pStyle w:val="3"/>
            </w:pPr>
          </w:p>
        </w:tc>
      </w:tr>
      <w:tr>
        <w:trPr>
          <w:trHeight w:val="120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和中高等级信用债占比较高，对于关键时点的规模变动和资金面波动都有充足的准备，且融资渠道畅通多元，风险总体可控。</w:t>
            </w:r>
          </w:p>
        </w:tc>
        <w:tc>
          <w:tcPr>
            <w:tcW w:w="800" w:type="dxa"/>
            <w:gridSpan w:val="2"/>
            <w:vAlign w:val="top"/>
          </w:tcPr>
          <w:p>
            <w:pPr>
              <w:pStyle w:val="3"/>
            </w:pPr>
          </w:p>
        </w:tc>
      </w:tr>
      <w:tr>
        <w:trPr>
          <w:trHeight w:val="880" w:hRule="exact"/>
        </w:trPr>
        <w:tc>
          <w:tcPr>
            <w:tcW w:w="1" w:type="dxa"/>
            <w:vAlign w:val="top"/>
          </w:tcPr>
          <w:p>
            <w:pPr>
              <w:pStyle w:val="3"/>
            </w:pPr>
          </w:p>
        </w:tc>
        <w:tc>
          <w:tcPr>
            <w:tcW w:w="3200" w:type="dxa"/>
            <w:gridSpan w:val="3"/>
            <w:vAlign w:val="top"/>
          </w:tcPr>
          <w:p>
            <w:pPr>
              <w:pStyle w:val="3"/>
            </w:pPr>
          </w:p>
        </w:tc>
        <w:tc>
          <w:tcPr>
            <w:tcW w:w="3400" w:type="dxa"/>
            <w:gridSpan w:val="5"/>
            <w:vAlign w:val="top"/>
          </w:tcPr>
          <w:p>
            <w:pPr>
              <w:pStyle w:val="3"/>
            </w:pPr>
          </w:p>
        </w:tc>
        <w:tc>
          <w:tcPr>
            <w:tcW w:w="4100" w:type="dxa"/>
            <w:gridSpan w:val="5"/>
            <w:vAlign w:val="top"/>
          </w:tcPr>
          <w:p>
            <w:pPr>
              <w:pStyle w:val="3"/>
            </w:pP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江苏张家港农村商业银行股份有限公司</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2020年09月30日</w:t>
            </w:r>
          </w:p>
        </w:tc>
        <w:tc>
          <w:tcPr>
            <w:tcW w:w="800" w:type="dxa"/>
            <w:gridSpan w:val="2"/>
            <w:vAlign w:val="top"/>
          </w:tcPr>
          <w:p>
            <w:pPr>
              <w:pStyle w:val="3"/>
            </w:pPr>
          </w:p>
        </w:tc>
      </w:tr>
    </w:tbl>
    <w:p/>
    <w:sectPr>
      <w:pgSz w:w="13900" w:h="16840"/>
      <w:pgMar w:top="800" w:right="1200" w:bottom="440" w:left="1200" w:header="0" w:footer="0" w:gutter="0"/>
      <w:cols w:space="720" w:num="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40001" w:csb1="00000000"/>
  </w:font>
  <w:font w:name="原版宋体">
    <w:altName w:val="宋体"/>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oNotDisplayPageBoundaries w:val="1"/>
  <w:bordersDoNotSurroundHeader w:val="1"/>
  <w:bordersDoNotSurroundFooter w:val="1"/>
  <w:defaultTabStop w:val="800"/>
  <w:displayHorizontalDrawingGridEvery w:val="1"/>
  <w:displayVerticalDrawingGridEvery w:val="1"/>
  <w:characterSpacingControl w:val="compressPunctuation"/>
  <w:compat>
    <w:spaceForUL/>
    <w:doNotLeaveBackslashAlone/>
    <w:ulTrailSpace/>
    <w:doNotExpandShiftReturn/>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pPr>
      <w:widowControl w:val="0"/>
      <w:jc w:val="both"/>
    </w:pPr>
    <w:rPr>
      <w:rFonts w:ascii="Calibri" w:hAnsi="Calibri" w:eastAsia="宋体" w:cs="黑体"/>
      <w:sz w:val="21"/>
      <w:szCs w:val="22"/>
    </w:rPr>
  </w:style>
  <w:style w:type="character" w:default="1" w:styleId="2">
    <w:name w:val="Default Paragraph Font"/>
  </w:style>
  <w:style w:type="paragraph" w:customStyle="1" w:styleId="3">
    <w:name w:val="EMPTY_CELL_STYLE"/>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2020-10-19T10:16:00Z</dcterms:created>
  <dc:creator>zrc</dc:creator>
  <dcterms:modified xsi:type="dcterms:W3CDTF">2020-10-20T19:15:50Z</dcterms:modified>
  <dc:title>zrc</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