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
        <w:gridCol w:w="800"/>
        <w:gridCol w:w="2000"/>
        <w:gridCol w:w="400"/>
        <w:gridCol w:w="400"/>
        <w:gridCol w:w="400"/>
        <w:gridCol w:w="20"/>
        <w:gridCol w:w="980"/>
        <w:gridCol w:w="1600"/>
        <w:gridCol w:w="400"/>
        <w:gridCol w:w="400"/>
        <w:gridCol w:w="220"/>
        <w:gridCol w:w="1380"/>
        <w:gridCol w:w="1700"/>
        <w:gridCol w:w="20"/>
        <w:gridCol w:w="78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18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240" w:lineRule="auto"/>
              <w:jc w:val="center"/>
            </w:pPr>
            <w:r>
              <w:rPr>
                <w:b/>
                <w:color w:val="000000"/>
                <w:sz w:val="40"/>
              </w:rPr>
              <w:t>“金港湾瑞享1号”定期报告</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color w:val="000000"/>
                <w:sz w:val="20"/>
              </w:rPr>
              <w:t>产品管理人：江苏张家港农村商业银行股份有限公司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rPr>
                <w:rFonts w:hint="eastAsia" w:eastAsia="宋体"/>
                <w:highlight w:val="yellow"/>
                <w:lang w:eastAsia="zh-CN"/>
              </w:rPr>
            </w:pPr>
            <w:r>
              <w:rPr>
                <w:color w:val="000000"/>
                <w:sz w:val="20"/>
                <w:highlight w:val="none"/>
              </w:rPr>
              <w:t>产品托管人：</w:t>
            </w:r>
            <w:r>
              <w:rPr>
                <w:rFonts w:hint="eastAsia"/>
                <w:color w:val="000000"/>
                <w:sz w:val="20"/>
                <w:highlight w:val="none"/>
                <w:lang w:eastAsia="zh-CN"/>
              </w:rPr>
              <w:t>南京银行股份有限公司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color w:val="000000"/>
                <w:sz w:val="20"/>
              </w:rPr>
              <w:t>发布时间：2020年09月30日</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color w:val="000000"/>
                <w:sz w:val="20"/>
              </w:rPr>
              <w:t xml:space="preserve">    本报告中财务资料未经审计。</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color w:val="000000"/>
                <w:sz w:val="20"/>
              </w:rPr>
              <w:t xml:space="preserve">    本报告期自2020年07月01日起至09月30日止。</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产品名称</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金港湾瑞享1号</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RX0103</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全国银行业理财信息登记系统编码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C1115619000043</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产品运作方式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开放式净值型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产品类型</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募集方式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公募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报告期末产品份额总额</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818,172,096.16</w:t>
            </w:r>
          </w:p>
        </w:tc>
        <w:tc>
          <w:tcPr>
            <w:tcW w:w="800" w:type="dxa"/>
            <w:gridSpan w:val="2"/>
            <w:vAlign w:val="top"/>
          </w:tcPr>
          <w:p>
            <w:pPr>
              <w:pStyle w:val="3"/>
            </w:pPr>
          </w:p>
        </w:tc>
      </w:tr>
      <w:tr>
        <w:trPr>
          <w:trHeight w:val="400" w:hRule="exact"/>
        </w:trPr>
        <w:tc>
          <w:tcPr>
            <w:tcW w:w="1" w:type="dxa"/>
            <w:vAlign w:val="top"/>
          </w:tcPr>
          <w:p>
            <w:pPr>
              <w:pStyle w:val="3"/>
              <w:rPr>
                <w:highlight w:val="yellow"/>
              </w:rPr>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b/>
                <w:color w:val="000000"/>
                <w:sz w:val="20"/>
                <w:highlight w:val="yellow"/>
              </w:rPr>
            </w:pPr>
            <w:r>
              <w:rPr>
                <w:rFonts w:hint="eastAsia" w:ascii="原版宋体" w:hAnsi="原版宋体" w:eastAsia="原版宋体" w:cs="原版宋体"/>
                <w:b/>
                <w:color w:val="000000"/>
                <w:sz w:val="20"/>
                <w:lang w:val="en-US" w:eastAsia="zh-CN"/>
              </w:rPr>
              <w:t>报告期末单位净值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宋体"/>
                <w:color w:val="000000"/>
                <w:sz w:val="20"/>
                <w:highlight w:val="yellow"/>
                <w:lang w:val="en-US" w:eastAsia="zh-CN"/>
              </w:rPr>
            </w:pPr>
            <w:r>
              <w:rPr>
                <w:rFonts w:hint="eastAsia"/>
                <w:color w:val="000000"/>
                <w:sz w:val="20"/>
                <w:szCs w:val="22"/>
                <w:lang w:val="en-US" w:eastAsia="zh-CN"/>
              </w:rPr>
              <w:t>1.0764</w:t>
            </w:r>
          </w:p>
        </w:tc>
        <w:tc>
          <w:tcPr>
            <w:tcW w:w="800" w:type="dxa"/>
            <w:gridSpan w:val="2"/>
            <w:vAlign w:val="top"/>
          </w:tcPr>
          <w:p>
            <w:pPr>
              <w:pStyle w:val="3"/>
              <w:rPr>
                <w:highlight w:val="yellow"/>
              </w:rPr>
            </w:pPr>
          </w:p>
        </w:tc>
      </w:tr>
      <w:tr>
        <w:trPr>
          <w:trHeight w:val="400" w:hRule="exact"/>
        </w:trPr>
        <w:tc>
          <w:tcPr>
            <w:tcW w:w="1" w:type="dxa"/>
            <w:vAlign w:val="top"/>
          </w:tcPr>
          <w:p>
            <w:pPr>
              <w:pStyle w:val="3"/>
              <w:rPr>
                <w:highlight w:val="yellow"/>
              </w:rPr>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b/>
                <w:color w:val="000000"/>
                <w:sz w:val="20"/>
                <w:highlight w:val="yellow"/>
              </w:rPr>
            </w:pPr>
            <w:r>
              <w:rPr>
                <w:rFonts w:hint="eastAsia" w:ascii="原版宋体" w:hAnsi="原版宋体" w:eastAsia="原版宋体" w:cs="原版宋体"/>
                <w:b/>
                <w:color w:val="000000"/>
                <w:sz w:val="20"/>
                <w:lang w:val="en-US" w:eastAsia="zh-CN"/>
              </w:rPr>
              <w:t>报告期末累计单位净值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宋体"/>
                <w:color w:val="000000"/>
                <w:sz w:val="20"/>
                <w:highlight w:val="yellow"/>
                <w:lang w:val="en-US" w:eastAsia="zh-CN"/>
              </w:rPr>
            </w:pPr>
            <w:r>
              <w:rPr>
                <w:rFonts w:hint="eastAsia"/>
                <w:color w:val="000000"/>
                <w:sz w:val="20"/>
                <w:szCs w:val="22"/>
                <w:lang w:val="en-US" w:eastAsia="zh-CN"/>
              </w:rPr>
              <w:t>1.0764</w:t>
            </w:r>
          </w:p>
        </w:tc>
        <w:tc>
          <w:tcPr>
            <w:tcW w:w="800" w:type="dxa"/>
            <w:gridSpan w:val="2"/>
            <w:vAlign w:val="top"/>
          </w:tcPr>
          <w:p>
            <w:pPr>
              <w:pStyle w:val="3"/>
              <w:rPr>
                <w:highlight w:val="yellow"/>
              </w:rPr>
            </w:pPr>
          </w:p>
        </w:tc>
      </w:tr>
      <w:tr>
        <w:trPr>
          <w:trHeight w:val="400" w:hRule="exact"/>
        </w:trPr>
        <w:tc>
          <w:tcPr>
            <w:tcW w:w="1" w:type="dxa"/>
            <w:vAlign w:val="top"/>
          </w:tcPr>
          <w:p>
            <w:pPr>
              <w:pStyle w:val="3"/>
              <w:rPr>
                <w:highlight w:val="yellow"/>
              </w:rPr>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b/>
                <w:color w:val="000000"/>
                <w:sz w:val="20"/>
                <w:highlight w:val="yellow"/>
              </w:rPr>
            </w:pPr>
            <w:r>
              <w:rPr>
                <w:rFonts w:hint="eastAsia" w:ascii="原版宋体" w:hAnsi="原版宋体" w:eastAsia="原版宋体" w:cs="原版宋体"/>
                <w:b/>
                <w:color w:val="000000"/>
                <w:sz w:val="20"/>
                <w:lang w:eastAsia="zh-CN"/>
              </w:rPr>
              <w:t>报告期末净值增长率（年化）</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color w:val="000000"/>
                <w:sz w:val="20"/>
                <w:highlight w:val="yellow"/>
              </w:rPr>
            </w:pPr>
            <w:r>
              <w:rPr>
                <w:rFonts w:hint="eastAsia"/>
                <w:color w:val="000000"/>
                <w:sz w:val="20"/>
                <w:szCs w:val="22"/>
                <w:lang w:val="en-US" w:eastAsia="zh-CN"/>
              </w:rPr>
              <w:t>4.28%</w:t>
            </w:r>
          </w:p>
        </w:tc>
        <w:tc>
          <w:tcPr>
            <w:tcW w:w="800" w:type="dxa"/>
            <w:gridSpan w:val="2"/>
            <w:vAlign w:val="top"/>
          </w:tcPr>
          <w:p>
            <w:pPr>
              <w:pStyle w:val="3"/>
              <w:rPr>
                <w:highlight w:val="yellow"/>
              </w:rPr>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b/>
                <w:color w:val="000000"/>
                <w:sz w:val="20"/>
              </w:rPr>
              <w:t>3  投资组合报告</w:t>
            </w:r>
          </w:p>
        </w:tc>
        <w:tc>
          <w:tcPr>
            <w:tcW w:w="800" w:type="dxa"/>
            <w:gridSpan w:val="2"/>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color w:val="000000"/>
                <w:sz w:val="20"/>
              </w:rPr>
              <w:t>3.1 报告期末产品资产组合情况</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占资产组合比例（%）</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878,368,598.23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99.26%</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807,265,119.05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91.23%</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104,960,938.57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11.86%</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71,103,479.18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8.04%</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6,518,663.97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0.74%</w:t>
            </w:r>
          </w:p>
        </w:tc>
        <w:tc>
          <w:tcPr>
            <w:tcW w:w="800" w:type="dxa"/>
            <w:gridSpan w:val="2"/>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884,887,262.20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100.00%</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color w:val="000000"/>
                <w:sz w:val="20"/>
              </w:rPr>
              <w:t>3.2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占资产组合比例（%）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2</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3</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90,341,879.32</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10.21%</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50,069,827.94</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5.66%</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4</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561,064,746.64</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63.41%</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5</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6</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7</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50,897,55</w:t>
            </w:r>
            <w:bookmarkStart w:id="3" w:name="_GoBack"/>
            <w:bookmarkEnd w:id="3"/>
            <w:r>
              <w:rPr>
                <w:color w:val="000000"/>
                <w:sz w:val="20"/>
              </w:rPr>
              <w:t>4.52</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5.75%</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8</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702,304,180.48</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79.37%</w:t>
            </w:r>
          </w:p>
        </w:tc>
        <w:tc>
          <w:tcPr>
            <w:tcW w:w="780" w:type="dxa"/>
            <w:vAlign w:val="top"/>
          </w:tcPr>
          <w:p>
            <w:pPr>
              <w:pStyle w:val="3"/>
            </w:pPr>
          </w:p>
        </w:tc>
      </w:tr>
      <w:tr>
        <w:trPr>
          <w:trHeight w:val="11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color w:val="000000"/>
                <w:sz w:val="20"/>
              </w:rPr>
              <w:t>3.3 报告期末按市值占产品资产净值比例大小排名的前十名资产投资明细</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b/>
                <w:color w:val="000000"/>
                <w:sz w:val="20"/>
              </w:rPr>
              <w:t>占产品资产净值比例（％）</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113,400,000.00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104,960,938.57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11.92%</w:t>
            </w:r>
          </w:p>
        </w:tc>
        <w:tc>
          <w:tcPr>
            <w:tcW w:w="20" w:type="dxa"/>
            <w:vAlign w:val="top"/>
          </w:tcPr>
          <w:p>
            <w:pPr>
              <w:pStyle w:val="3"/>
            </w:pPr>
          </w:p>
        </w:tc>
        <w:tc>
          <w:tcPr>
            <w:tcW w:w="78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20088015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南通滨海园区控股发展有限公司2020年度第1期理财直接融资工具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50,576,903.84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5.74%</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031775014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17江宁交通PPN001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41,824,716.30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4.75%</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031671031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16滨湖建设PPN001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40,810,239.04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4.63%</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162016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19余工01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40,322,633.78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4.58%</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200306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20进出06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40,114,625.75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4.56%</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101800778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18成都高新MTN001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30,956,460.00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3.52%</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135353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16武经01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30,739,400.80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3.49%</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151659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19滨江01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30,558,845.65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3.47%</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151669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19城东01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30,534,143.03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3.47%</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color w:val="000000"/>
                <w:sz w:val="20"/>
              </w:rPr>
              <w:t>3.4 报告期末资产组合流动性风险分析</w:t>
            </w:r>
          </w:p>
        </w:tc>
        <w:tc>
          <w:tcPr>
            <w:tcW w:w="20" w:type="dxa"/>
            <w:vAlign w:val="top"/>
          </w:tcPr>
          <w:p>
            <w:pPr>
              <w:pStyle w:val="3"/>
            </w:pPr>
          </w:p>
        </w:tc>
        <w:tc>
          <w:tcPr>
            <w:tcW w:w="780" w:type="dxa"/>
            <w:vAlign w:val="top"/>
          </w:tcPr>
          <w:p>
            <w:pPr>
              <w:pStyle w:val="3"/>
            </w:pPr>
          </w:p>
        </w:tc>
      </w:tr>
      <w:tr>
        <w:trPr>
          <w:trHeight w:val="0" w:hRule="atLeast"/>
        </w:trPr>
        <w:tc>
          <w:tcPr>
            <w:tcW w:w="1" w:type="dxa"/>
            <w:vAlign w:val="top"/>
          </w:tcPr>
          <w:p>
            <w:pPr>
              <w:pStyle w:val="3"/>
              <w:pageBreakBefore/>
            </w:pPr>
            <w:bookmarkStart w:id="2" w:name="JR_PAGE_ANCHOR_0_3"/>
            <w:bookmarkEnd w:id="2"/>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产品资产净值（元）</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流动性资产占比（%）</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56,588,491.91</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880,647,013.46</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6.43%</w:t>
            </w:r>
          </w:p>
        </w:tc>
        <w:tc>
          <w:tcPr>
            <w:tcW w:w="800" w:type="dxa"/>
            <w:gridSpan w:val="2"/>
            <w:vAlign w:val="top"/>
          </w:tcPr>
          <w:p>
            <w:pPr>
              <w:pStyle w:val="3"/>
            </w:pPr>
          </w:p>
        </w:tc>
      </w:tr>
      <w:tr>
        <w:trPr>
          <w:trHeight w:val="82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800" w:type="dxa"/>
            <w:gridSpan w:val="2"/>
            <w:vAlign w:val="top"/>
          </w:tcPr>
          <w:p>
            <w:pPr>
              <w:pStyle w:val="3"/>
            </w:pPr>
          </w:p>
        </w:tc>
      </w:tr>
      <w:tr>
        <w:trPr>
          <w:trHeight w:val="88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color w:val="000000"/>
                <w:sz w:val="20"/>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color w:val="000000"/>
                <w:sz w:val="20"/>
              </w:rPr>
              <w:t>2020年09月30日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原版宋体">
    <w:altName w:val="宋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efaultTabStop w:val="800"/>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jc w:val="both"/>
    </w:pPr>
    <w:rPr>
      <w:rFonts w:ascii="Times New Roman" w:hAnsi="Times New Roman" w:eastAsia="宋体" w:cs="Times New Roman"/>
      <w:kern w:val="2"/>
      <w:sz w:val="21"/>
      <w:lang w:val="en-US" w:eastAsia="zh-CN" w:bidi="ar-SA"/>
    </w:rPr>
  </w:style>
  <w:style w:type="character" w:default="1" w:styleId="2">
    <w:name w:val="Default Paragraph Font"/>
  </w:style>
  <w:style w:type="paragraph" w:customStyle="1" w:styleId="3">
    <w:name w:val="EMPTY_CELL_STYLE"/>
    <w:rPr>
      <w:rFonts w:ascii="Times New Roman" w:hAnsi="Times New Roman" w:eastAsia="宋体" w:cs="Times New Roman"/>
      <w:color w:val="000000"/>
      <w:sz w:val="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2020-10-19T16:57:00Z</dcterms:created>
  <dc:creator>zrc</dc:creator>
  <dcterms:modified xsi:type="dcterms:W3CDTF">2020-10-20T19:13:55Z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