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1000"/>
        <w:gridCol w:w="1600"/>
        <w:gridCol w:w="400"/>
        <w:gridCol w:w="400"/>
        <w:gridCol w:w="1600"/>
        <w:gridCol w:w="1700"/>
        <w:gridCol w:w="80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“金港湾惠享1913期”定期报告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rPr>
                <w:rFonts w:hint="eastAsia" w:eastAsia="原版宋体"/>
                <w:lang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宁波银行股份有限公司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发布时间：2020年09月30日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本报告期自2020年07月01日起至09月30日止。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金港湾惠享1913期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HX1913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C1115620000001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143,870,000.00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highlight w:val="none"/>
                <w:lang w:eastAsia="zh-CN"/>
              </w:rPr>
              <w:t>报告期末单位净值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/>
                <w:lang w:val="en-US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1.0268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ascii="原版宋体" w:hAnsi="原版宋体" w:eastAsia="原版宋体" w:cs="原版宋体"/>
                <w:b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highlight w:val="none"/>
                <w:lang w:eastAsia="zh-CN"/>
              </w:rPr>
              <w:t>报告期末累计单位净值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1.0268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ascii="原版宋体" w:hAnsi="原版宋体" w:eastAsia="原版宋体" w:cs="原版宋体"/>
                <w:b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highlight w:val="none"/>
                <w:lang w:eastAsia="zh-CN"/>
              </w:rPr>
              <w:t>报告期末净值增长率（年化）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4.08%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投资组合报告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144,639,200.00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97.85%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144,639,200.00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97.85%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3,173,331.64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2.15%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147,812,531.64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报告期末按市值占产品资产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组合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比例大小排名的前十名资产投资明细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组合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比例（％）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20088143                        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无锡惠山开发建设有限公司2020年度第一期理财直接融资工具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100,640,000.00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68.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09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XHT7H                           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鑫元基金-鑫合通7号资产管理计划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37,800,000.00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43,999,200.00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29.7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7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报告期末资产组合流动性风险分析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2" w:name="_GoBack" w:colFirst="1" w:colLast="6"/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3,173,331.64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147,728,401.20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2.15%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bookmarkEnd w:id="2"/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2020年09月30日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 w:val="1"/>
  <w:bordersDoNotSurroundHeader w:val="1"/>
  <w:bordersDoNotSurroundFooter w:val="1"/>
  <w:defaultTabStop w:val="800"/>
  <w:displayHorizontalDrawingGridEvery w:val="1"/>
  <w:displayVerticalDrawingGridEvery w:val="1"/>
  <w:characterSpacingControl w:val="compressPunctuation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sz w:val="21"/>
      <w:szCs w:val="22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2020-10-19T09:52:00Z</dcterms:created>
  <dc:creator>zrc</dc:creator>
  <dcterms:modified xsi:type="dcterms:W3CDTF">2020-10-20T18:44:32Z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