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450"/>
        </w:tabs>
        <w:snapToGrid w:val="0"/>
        <w:jc w:val="center"/>
        <w:rPr>
          <w:rFonts w:ascii="华文中宋" w:hAnsi="华文中宋" w:eastAsia="华文中宋" w:cs="华文中宋"/>
          <w:sz w:val="52"/>
          <w:szCs w:val="52"/>
        </w:rPr>
      </w:pPr>
      <w:r>
        <w:rPr>
          <w:rFonts w:hint="eastAsia" w:ascii="华文中宋" w:hAnsi="华文中宋" w:eastAsia="华文中宋" w:cs="华文中宋"/>
          <w:sz w:val="52"/>
          <w:szCs w:val="52"/>
        </w:rPr>
        <w:t>江苏张家港农村商业银行股份有限公司</w:t>
      </w:r>
    </w:p>
    <w:p>
      <w:pPr>
        <w:pStyle w:val="22"/>
        <w:jc w:val="center"/>
        <w:rPr>
          <w:rFonts w:hint="eastAsia" w:ascii="华文中宋" w:hAnsi="华文中宋" w:eastAsia="华文中宋" w:cs="华文中宋"/>
          <w:kern w:val="2"/>
          <w:sz w:val="52"/>
          <w:szCs w:val="52"/>
          <w:lang w:val="en-US" w:eastAsia="zh-CN" w:bidi="ar-SA"/>
        </w:rPr>
      </w:pPr>
      <w:r>
        <w:rPr>
          <w:rFonts w:hint="eastAsia" w:ascii="华文中宋" w:hAnsi="华文中宋" w:eastAsia="华文中宋" w:cs="华文中宋"/>
          <w:kern w:val="2"/>
          <w:sz w:val="52"/>
          <w:szCs w:val="52"/>
          <w:lang w:val="en-US" w:eastAsia="zh-CN" w:bidi="ar-SA"/>
        </w:rPr>
        <w:t>新一代信贷系统PMO管理模式项目</w:t>
      </w:r>
    </w:p>
    <w:p>
      <w:pPr>
        <w:snapToGrid w:val="0"/>
        <w:rPr>
          <w:rFonts w:ascii="华文中宋" w:hAnsi="华文中宋" w:eastAsia="华文中宋" w:cs="华文中宋"/>
          <w:sz w:val="36"/>
          <w:szCs w:val="36"/>
        </w:rPr>
      </w:pPr>
    </w:p>
    <w:p>
      <w:pPr>
        <w:snapToGrid w:val="0"/>
        <w:jc w:val="center"/>
        <w:rPr>
          <w:rFonts w:ascii="华文中宋" w:hAnsi="华文中宋" w:eastAsia="华文中宋" w:cs="华文中宋"/>
          <w:sz w:val="72"/>
          <w:szCs w:val="72"/>
        </w:rPr>
      </w:pPr>
      <w:r>
        <w:rPr>
          <w:rFonts w:hint="eastAsia" w:ascii="华文中宋" w:hAnsi="华文中宋" w:eastAsia="华文中宋" w:cs="华文中宋"/>
          <w:sz w:val="72"/>
          <w:szCs w:val="72"/>
        </w:rPr>
        <w:t>竞</w:t>
      </w:r>
    </w:p>
    <w:p>
      <w:pPr>
        <w:snapToGrid w:val="0"/>
        <w:jc w:val="center"/>
        <w:rPr>
          <w:rFonts w:ascii="华文中宋" w:hAnsi="华文中宋" w:eastAsia="华文中宋" w:cs="华文中宋"/>
          <w:sz w:val="72"/>
          <w:szCs w:val="72"/>
        </w:rPr>
      </w:pPr>
      <w:r>
        <w:rPr>
          <w:rFonts w:hint="eastAsia" w:ascii="华文中宋" w:hAnsi="华文中宋" w:eastAsia="华文中宋" w:cs="华文中宋"/>
          <w:sz w:val="72"/>
          <w:szCs w:val="72"/>
        </w:rPr>
        <w:t>争</w:t>
      </w:r>
    </w:p>
    <w:p>
      <w:pPr>
        <w:snapToGrid w:val="0"/>
        <w:jc w:val="center"/>
        <w:rPr>
          <w:rFonts w:ascii="华文中宋" w:hAnsi="华文中宋" w:eastAsia="华文中宋" w:cs="华文中宋"/>
          <w:sz w:val="72"/>
          <w:szCs w:val="72"/>
        </w:rPr>
      </w:pPr>
      <w:r>
        <w:rPr>
          <w:rFonts w:hint="eastAsia" w:ascii="华文中宋" w:hAnsi="华文中宋" w:eastAsia="华文中宋" w:cs="华文中宋"/>
          <w:sz w:val="72"/>
          <w:szCs w:val="72"/>
        </w:rPr>
        <w:t>性</w:t>
      </w:r>
    </w:p>
    <w:p>
      <w:pPr>
        <w:snapToGrid w:val="0"/>
        <w:jc w:val="center"/>
        <w:rPr>
          <w:rFonts w:ascii="华文中宋" w:hAnsi="华文中宋" w:eastAsia="华文中宋" w:cs="华文中宋"/>
          <w:sz w:val="72"/>
          <w:szCs w:val="72"/>
        </w:rPr>
      </w:pPr>
      <w:r>
        <w:rPr>
          <w:rFonts w:hint="eastAsia" w:ascii="华文中宋" w:hAnsi="华文中宋" w:eastAsia="华文中宋" w:cs="华文中宋"/>
          <w:sz w:val="72"/>
          <w:szCs w:val="72"/>
        </w:rPr>
        <w:t>磋</w:t>
      </w:r>
    </w:p>
    <w:p>
      <w:pPr>
        <w:snapToGrid w:val="0"/>
        <w:jc w:val="center"/>
        <w:rPr>
          <w:rFonts w:ascii="华文中宋" w:hAnsi="华文中宋" w:eastAsia="华文中宋" w:cs="华文中宋"/>
          <w:sz w:val="72"/>
          <w:szCs w:val="72"/>
        </w:rPr>
      </w:pPr>
      <w:r>
        <w:rPr>
          <w:rFonts w:hint="eastAsia" w:ascii="华文中宋" w:hAnsi="华文中宋" w:eastAsia="华文中宋" w:cs="华文中宋"/>
          <w:sz w:val="72"/>
          <w:szCs w:val="72"/>
        </w:rPr>
        <w:t>商</w:t>
      </w:r>
    </w:p>
    <w:p>
      <w:pPr>
        <w:snapToGrid w:val="0"/>
        <w:jc w:val="center"/>
        <w:rPr>
          <w:rFonts w:ascii="华文中宋" w:hAnsi="华文中宋" w:eastAsia="华文中宋" w:cs="华文中宋"/>
          <w:sz w:val="52"/>
          <w:szCs w:val="52"/>
        </w:rPr>
      </w:pPr>
      <w:r>
        <w:rPr>
          <w:rFonts w:hint="eastAsia" w:ascii="华文中宋" w:hAnsi="华文中宋" w:eastAsia="华文中宋" w:cs="华文中宋"/>
          <w:sz w:val="72"/>
          <w:szCs w:val="72"/>
        </w:rPr>
        <w:t>文</w:t>
      </w:r>
    </w:p>
    <w:p>
      <w:pPr>
        <w:snapToGrid w:val="0"/>
        <w:jc w:val="center"/>
        <w:rPr>
          <w:rFonts w:ascii="华文中宋" w:hAnsi="华文中宋" w:eastAsia="华文中宋" w:cs="华文中宋"/>
          <w:sz w:val="56"/>
          <w:szCs w:val="56"/>
        </w:rPr>
      </w:pPr>
      <w:r>
        <w:rPr>
          <w:rFonts w:hint="eastAsia" w:ascii="华文中宋" w:hAnsi="华文中宋" w:eastAsia="华文中宋" w:cs="华文中宋"/>
          <w:sz w:val="72"/>
          <w:szCs w:val="72"/>
        </w:rPr>
        <w:t>件</w:t>
      </w:r>
    </w:p>
    <w:p>
      <w:pPr>
        <w:snapToGrid w:val="0"/>
        <w:rPr>
          <w:rFonts w:ascii="华文中宋" w:hAnsi="华文中宋" w:eastAsia="华文中宋" w:cs="华文中宋"/>
          <w:sz w:val="36"/>
          <w:szCs w:val="36"/>
        </w:rPr>
      </w:pPr>
    </w:p>
    <w:p>
      <w:pPr>
        <w:snapToGrid w:val="0"/>
        <w:spacing w:line="480" w:lineRule="auto"/>
        <w:jc w:val="center"/>
        <w:rPr>
          <w:rFonts w:ascii="华文中宋" w:hAnsi="华文中宋" w:eastAsia="华文中宋" w:cs="华文中宋"/>
          <w:sz w:val="32"/>
          <w:szCs w:val="32"/>
          <w:u w:val="single"/>
        </w:rPr>
      </w:pPr>
      <w:r>
        <w:rPr>
          <w:rFonts w:hint="eastAsia" w:ascii="华文中宋" w:hAnsi="华文中宋" w:eastAsia="华文中宋" w:cs="华文中宋"/>
          <w:sz w:val="32"/>
          <w:szCs w:val="32"/>
        </w:rPr>
        <w:t>采 购 人：</w:t>
      </w:r>
      <w:r>
        <w:rPr>
          <w:rFonts w:hint="eastAsia" w:ascii="华文中宋" w:hAnsi="华文中宋" w:eastAsia="华文中宋" w:cs="华文中宋"/>
          <w:sz w:val="32"/>
          <w:szCs w:val="32"/>
          <w:u w:val="single"/>
        </w:rPr>
        <w:t xml:space="preserve"> 江苏张家港农村商业银行股份有限公司</w:t>
      </w:r>
    </w:p>
    <w:p>
      <w:pPr>
        <w:snapToGrid w:val="0"/>
        <w:spacing w:line="480" w:lineRule="auto"/>
        <w:ind w:firstLine="1280" w:firstLineChars="400"/>
        <w:rPr>
          <w:rFonts w:ascii="华文中宋" w:hAnsi="华文中宋" w:eastAsia="华文中宋" w:cs="华文中宋"/>
          <w:sz w:val="32"/>
          <w:szCs w:val="32"/>
          <w:u w:val="single"/>
        </w:rPr>
      </w:pPr>
      <w:r>
        <w:rPr>
          <w:rFonts w:hint="eastAsia" w:ascii="华文中宋" w:hAnsi="华文中宋" w:eastAsia="华文中宋" w:cs="华文中宋"/>
          <w:sz w:val="32"/>
          <w:szCs w:val="32"/>
        </w:rPr>
        <w:t>地    点：</w:t>
      </w:r>
      <w:r>
        <w:rPr>
          <w:rFonts w:hint="eastAsia" w:ascii="华文中宋" w:hAnsi="华文中宋" w:eastAsia="华文中宋" w:cs="华文中宋"/>
          <w:sz w:val="32"/>
          <w:szCs w:val="32"/>
          <w:u w:val="single"/>
        </w:rPr>
        <w:t xml:space="preserve"> 张家港市人民中路66号            </w:t>
      </w:r>
    </w:p>
    <w:p>
      <w:pPr>
        <w:snapToGrid w:val="0"/>
        <w:spacing w:line="480" w:lineRule="auto"/>
        <w:ind w:firstLine="1280" w:firstLineChars="400"/>
        <w:rPr>
          <w:rFonts w:ascii="华文中宋" w:hAnsi="华文中宋" w:eastAsia="华文中宋" w:cs="华文中宋"/>
          <w:sz w:val="32"/>
          <w:szCs w:val="32"/>
          <w:u w:val="single"/>
        </w:rPr>
      </w:pPr>
      <w:r>
        <w:rPr>
          <w:rFonts w:hint="eastAsia" w:ascii="华文中宋" w:hAnsi="华文中宋" w:eastAsia="华文中宋" w:cs="华文中宋"/>
          <w:sz w:val="32"/>
          <w:szCs w:val="32"/>
        </w:rPr>
        <w:t>项目编号：</w:t>
      </w:r>
      <w:r>
        <w:rPr>
          <w:rFonts w:hint="eastAsia" w:ascii="华文中宋" w:hAnsi="华文中宋" w:eastAsia="华文中宋" w:cs="华文中宋"/>
          <w:sz w:val="32"/>
          <w:szCs w:val="32"/>
          <w:u w:val="single"/>
        </w:rPr>
        <w:t xml:space="preserve"> ZJGRCB2020</w:t>
      </w:r>
      <w:r>
        <w:rPr>
          <w:rFonts w:hint="eastAsia" w:ascii="华文中宋" w:hAnsi="华文中宋" w:eastAsia="华文中宋" w:cs="华文中宋"/>
          <w:sz w:val="32"/>
          <w:szCs w:val="32"/>
          <w:u w:val="single"/>
          <w:lang w:val="en-US" w:eastAsia="zh-CN"/>
        </w:rPr>
        <w:t>1009</w:t>
      </w:r>
      <w:r>
        <w:rPr>
          <w:rFonts w:hint="eastAsia" w:ascii="华文中宋" w:hAnsi="华文中宋" w:eastAsia="华文中宋" w:cs="华文中宋"/>
          <w:sz w:val="32"/>
          <w:szCs w:val="32"/>
          <w:u w:val="single"/>
        </w:rPr>
        <w:t xml:space="preserve">                    </w:t>
      </w:r>
    </w:p>
    <w:p>
      <w:pPr>
        <w:snapToGrid w:val="0"/>
        <w:jc w:val="center"/>
        <w:rPr>
          <w:rFonts w:ascii="华文中宋" w:hAnsi="华文中宋" w:eastAsia="华文中宋" w:cs="华文中宋"/>
          <w:sz w:val="32"/>
          <w:szCs w:val="32"/>
        </w:rPr>
      </w:pPr>
    </w:p>
    <w:p>
      <w:pPr>
        <w:snapToGrid w:val="0"/>
        <w:jc w:val="center"/>
        <w:rPr>
          <w:rFonts w:ascii="华文中宋" w:hAnsi="华文中宋" w:eastAsia="华文中宋" w:cs="华文中宋"/>
          <w:sz w:val="32"/>
          <w:szCs w:val="32"/>
        </w:rPr>
        <w:sectPr>
          <w:pgSz w:w="11906" w:h="16838"/>
          <w:pgMar w:top="1361" w:right="1080" w:bottom="1361" w:left="1080" w:header="851" w:footer="992" w:gutter="0"/>
          <w:cols w:space="720" w:num="1"/>
          <w:docGrid w:type="lines" w:linePitch="312" w:charSpace="0"/>
        </w:sectPr>
      </w:pPr>
      <w:r>
        <w:rPr>
          <w:rFonts w:hint="eastAsia" w:ascii="华文中宋" w:hAnsi="华文中宋" w:eastAsia="华文中宋" w:cs="华文中宋"/>
          <w:sz w:val="32"/>
          <w:szCs w:val="32"/>
        </w:rPr>
        <w:t xml:space="preserve">日期： </w:t>
      </w:r>
      <w:r>
        <w:rPr>
          <w:rFonts w:hint="eastAsia" w:ascii="华文中宋" w:hAnsi="华文中宋" w:eastAsia="华文中宋" w:cs="华文中宋"/>
          <w:sz w:val="32"/>
          <w:szCs w:val="32"/>
          <w:u w:val="single"/>
        </w:rPr>
        <w:t>2020</w:t>
      </w:r>
      <w:r>
        <w:rPr>
          <w:rFonts w:hint="eastAsia" w:ascii="华文中宋" w:hAnsi="华文中宋" w:eastAsia="华文中宋" w:cs="华文中宋"/>
          <w:sz w:val="32"/>
          <w:szCs w:val="32"/>
        </w:rPr>
        <w:t>年</w:t>
      </w:r>
      <w:r>
        <w:rPr>
          <w:rFonts w:hint="eastAsia" w:ascii="华文中宋" w:hAnsi="华文中宋" w:eastAsia="华文中宋" w:cs="华文中宋"/>
          <w:sz w:val="32"/>
          <w:szCs w:val="32"/>
          <w:u w:val="single"/>
          <w:lang w:val="en-US" w:eastAsia="zh-CN"/>
        </w:rPr>
        <w:t>9</w:t>
      </w:r>
      <w:r>
        <w:rPr>
          <w:rFonts w:hint="eastAsia" w:ascii="华文中宋" w:hAnsi="华文中宋" w:eastAsia="华文中宋" w:cs="华文中宋"/>
          <w:sz w:val="32"/>
          <w:szCs w:val="32"/>
        </w:rPr>
        <w:t>月</w:t>
      </w:r>
      <w:r>
        <w:rPr>
          <w:rFonts w:hint="eastAsia" w:ascii="华文中宋" w:hAnsi="华文中宋" w:eastAsia="华文中宋" w:cs="华文中宋"/>
          <w:sz w:val="32"/>
          <w:szCs w:val="32"/>
          <w:u w:val="single"/>
          <w:lang w:val="en-US" w:eastAsia="zh-CN"/>
        </w:rPr>
        <w:t>30</w:t>
      </w:r>
      <w:r>
        <w:rPr>
          <w:rFonts w:hint="eastAsia" w:ascii="华文中宋" w:hAnsi="华文中宋" w:eastAsia="华文中宋" w:cs="华文中宋"/>
          <w:sz w:val="32"/>
          <w:szCs w:val="32"/>
        </w:rPr>
        <w:t>日</w:t>
      </w:r>
    </w:p>
    <w:p>
      <w:pPr>
        <w:autoSpaceDE w:val="0"/>
        <w:autoSpaceDN w:val="0"/>
        <w:adjustRightInd w:val="0"/>
        <w:spacing w:line="560" w:lineRule="atLeast"/>
        <w:jc w:val="center"/>
        <w:rPr>
          <w:rFonts w:ascii="仿宋_GB2312" w:hAnsi="仿宋_GB2312" w:eastAsia="仿宋_GB2312" w:cs="仿宋_GB2312"/>
          <w:b/>
          <w:bCs/>
          <w:snapToGrid w:val="0"/>
          <w:sz w:val="44"/>
          <w:szCs w:val="44"/>
        </w:rPr>
      </w:pPr>
      <w:r>
        <w:rPr>
          <w:rFonts w:hint="eastAsia" w:ascii="仿宋_GB2312" w:hAnsi="仿宋_GB2312" w:eastAsia="仿宋_GB2312" w:cs="仿宋_GB2312"/>
          <w:b/>
          <w:bCs/>
          <w:snapToGrid w:val="0"/>
          <w:sz w:val="44"/>
          <w:szCs w:val="44"/>
        </w:rPr>
        <w:t>申   明</w:t>
      </w:r>
    </w:p>
    <w:p>
      <w:pPr>
        <w:autoSpaceDE w:val="0"/>
        <w:autoSpaceDN w:val="0"/>
        <w:adjustRightInd w:val="0"/>
        <w:spacing w:line="560" w:lineRule="atLeast"/>
        <w:jc w:val="center"/>
        <w:rPr>
          <w:rFonts w:ascii="仿宋_GB2312" w:hAnsi="仿宋_GB2312" w:eastAsia="仿宋_GB2312" w:cs="仿宋_GB2312"/>
          <w:snapToGrid w:val="0"/>
          <w:sz w:val="24"/>
        </w:rPr>
      </w:pPr>
    </w:p>
    <w:p>
      <w:pPr>
        <w:pStyle w:val="22"/>
        <w:ind w:firstLine="560" w:firstLineChars="20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本竞争性磋商文件专用于江苏张家港农村商业银行股份有限公司</w:t>
      </w:r>
      <w:r>
        <w:rPr>
          <w:rFonts w:hint="eastAsia" w:ascii="仿宋_GB2312" w:hAnsi="仿宋_GB2312" w:eastAsia="仿宋_GB2312" w:cs="仿宋_GB2312"/>
          <w:snapToGrid w:val="0"/>
          <w:sz w:val="28"/>
          <w:szCs w:val="28"/>
          <w:u w:val="single"/>
        </w:rPr>
        <w:t>新一代信贷系统PMO</w:t>
      </w:r>
      <w:r>
        <w:rPr>
          <w:rFonts w:hint="eastAsia" w:ascii="仿宋_GB2312" w:hAnsi="仿宋_GB2312" w:eastAsia="仿宋_GB2312" w:cs="仿宋_GB2312"/>
          <w:snapToGrid w:val="0"/>
          <w:sz w:val="28"/>
          <w:szCs w:val="28"/>
          <w:u w:val="single"/>
          <w:lang w:eastAsia="zh-CN"/>
        </w:rPr>
        <w:t>管理模式</w:t>
      </w:r>
      <w:r>
        <w:rPr>
          <w:rFonts w:hint="eastAsia" w:ascii="仿宋_GB2312" w:hAnsi="仿宋_GB2312" w:eastAsia="仿宋_GB2312" w:cs="仿宋_GB2312"/>
          <w:snapToGrid w:val="0"/>
          <w:sz w:val="28"/>
          <w:szCs w:val="28"/>
          <w:u w:val="single"/>
        </w:rPr>
        <w:t>项目</w:t>
      </w:r>
      <w:r>
        <w:rPr>
          <w:rFonts w:hint="eastAsia" w:ascii="仿宋_GB2312" w:hAnsi="仿宋_GB2312" w:eastAsia="仿宋_GB2312" w:cs="仿宋_GB2312"/>
          <w:snapToGrid w:val="0"/>
          <w:sz w:val="28"/>
          <w:szCs w:val="28"/>
        </w:rPr>
        <w:t>，江苏张家港农村商业银行股份有限公司对竞争性磋商文件内容享有解释权。供应商即视为无条件同意本申明并保证对本竞争性磋商文件可能涉及的江苏张家港农村商业银行股份有限公司商业秘密予以保密，除经江苏张家港农村商业银行股份有限公司书面同意外，任何单位和个人不得为参与本项目以外的目的而出版、复制、传播、销售及使用本采购文件。</w:t>
      </w:r>
    </w:p>
    <w:p>
      <w:pPr>
        <w:widowControl/>
        <w:jc w:val="left"/>
        <w:rPr>
          <w:rFonts w:ascii="仿宋_GB2312" w:hAnsi="仿宋_GB2312" w:eastAsia="仿宋_GB2312" w:cs="仿宋_GB2312"/>
          <w:b/>
          <w:bCs/>
          <w:kern w:val="0"/>
          <w:sz w:val="24"/>
        </w:rPr>
      </w:pPr>
    </w:p>
    <w:p>
      <w:pPr>
        <w:autoSpaceDE w:val="0"/>
        <w:autoSpaceDN w:val="0"/>
        <w:adjustRightInd w:val="0"/>
        <w:spacing w:line="640" w:lineRule="atLeast"/>
        <w:rPr>
          <w:rFonts w:ascii="仿宋_GB2312" w:hAnsi="仿宋_GB2312" w:eastAsia="仿宋_GB2312" w:cs="仿宋_GB2312"/>
          <w:b/>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sectPr>
          <w:pgSz w:w="11906" w:h="16838"/>
          <w:pgMar w:top="1361" w:right="1080" w:bottom="1361" w:left="1080" w:header="851" w:footer="992" w:gutter="0"/>
          <w:cols w:space="720" w:num="1"/>
          <w:docGrid w:type="lines" w:linePitch="312" w:charSpace="0"/>
        </w:sectPr>
      </w:pPr>
    </w:p>
    <w:p>
      <w:pPr>
        <w:spacing w:line="360" w:lineRule="auto"/>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第一部分 竞争性磋商公告</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为满足张家港农村商业银行业务发展需要，现对“江苏张家港农村商业银行股份有限公司</w:t>
      </w:r>
      <w:r>
        <w:rPr>
          <w:rFonts w:hint="eastAsia" w:ascii="仿宋_GB2312" w:hAnsi="仿宋_GB2312" w:eastAsia="仿宋_GB2312" w:cs="仿宋_GB2312"/>
          <w:snapToGrid w:val="0"/>
          <w:sz w:val="28"/>
          <w:szCs w:val="28"/>
        </w:rPr>
        <w:t>新一代信贷系统PMO</w:t>
      </w:r>
      <w:r>
        <w:rPr>
          <w:rFonts w:hint="eastAsia" w:ascii="仿宋_GB2312" w:hAnsi="仿宋_GB2312" w:eastAsia="仿宋_GB2312" w:cs="仿宋_GB2312"/>
          <w:snapToGrid w:val="0"/>
          <w:sz w:val="28"/>
          <w:szCs w:val="28"/>
          <w:lang w:eastAsia="zh-CN"/>
        </w:rPr>
        <w:t>管理模式</w:t>
      </w:r>
      <w:r>
        <w:rPr>
          <w:rFonts w:hint="eastAsia" w:ascii="仿宋_GB2312" w:hAnsi="仿宋_GB2312" w:eastAsia="仿宋_GB2312" w:cs="仿宋_GB2312"/>
          <w:snapToGrid w:val="0"/>
          <w:sz w:val="28"/>
          <w:szCs w:val="28"/>
        </w:rPr>
        <w:t>项目</w:t>
      </w:r>
      <w:r>
        <w:rPr>
          <w:rFonts w:hint="eastAsia" w:ascii="仿宋_GB2312" w:hAnsi="仿宋_GB2312" w:eastAsia="仿宋_GB2312" w:cs="仿宋_GB2312"/>
          <w:sz w:val="28"/>
          <w:szCs w:val="28"/>
        </w:rPr>
        <w:t>”进行竞争性磋商。</w:t>
      </w:r>
    </w:p>
    <w:p>
      <w:pPr>
        <w:snapToGrid w:val="0"/>
        <w:spacing w:line="360" w:lineRule="auto"/>
        <w:jc w:val="left"/>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1、项目编号：</w:t>
      </w:r>
      <w:r>
        <w:rPr>
          <w:rFonts w:hint="eastAsia" w:ascii="仿宋_GB2312" w:hAnsi="仿宋_GB2312" w:eastAsia="仿宋_GB2312" w:cs="仿宋_GB2312"/>
          <w:sz w:val="28"/>
          <w:szCs w:val="28"/>
          <w:u w:val="single"/>
        </w:rPr>
        <w:t>ZJGRCB2020</w:t>
      </w:r>
      <w:r>
        <w:rPr>
          <w:rFonts w:hint="eastAsia" w:ascii="仿宋_GB2312" w:hAnsi="仿宋_GB2312" w:eastAsia="仿宋_GB2312" w:cs="仿宋_GB2312"/>
          <w:sz w:val="28"/>
          <w:szCs w:val="28"/>
          <w:u w:val="single"/>
          <w:lang w:val="en-US" w:eastAsia="zh-CN"/>
        </w:rPr>
        <w:t>1009</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2、采购人：江苏张家港农村商业银行股份有限公司</w:t>
      </w:r>
    </w:p>
    <w:p>
      <w:pPr>
        <w:spacing w:line="360" w:lineRule="auto"/>
        <w:rPr>
          <w:rFonts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rPr>
        <w:t>3、磋商文件发放时</w:t>
      </w:r>
      <w:r>
        <w:rPr>
          <w:rFonts w:hint="eastAsia" w:ascii="仿宋_GB2312" w:hAnsi="仿宋_GB2312" w:eastAsia="仿宋_GB2312" w:cs="仿宋_GB2312"/>
          <w:sz w:val="28"/>
          <w:szCs w:val="28"/>
          <w:highlight w:val="none"/>
        </w:rPr>
        <w:t>间：</w:t>
      </w:r>
      <w:r>
        <w:rPr>
          <w:rFonts w:hint="eastAsia" w:ascii="仿宋_GB2312" w:hAnsi="仿宋_GB2312" w:eastAsia="仿宋_GB2312" w:cs="仿宋_GB2312"/>
          <w:sz w:val="28"/>
          <w:szCs w:val="28"/>
          <w:highlight w:val="none"/>
          <w:u w:val="single"/>
        </w:rPr>
        <w:t>2020年</w:t>
      </w:r>
      <w:r>
        <w:rPr>
          <w:rFonts w:hint="eastAsia" w:ascii="仿宋_GB2312" w:hAnsi="仿宋_GB2312" w:eastAsia="仿宋_GB2312" w:cs="仿宋_GB2312"/>
          <w:sz w:val="28"/>
          <w:szCs w:val="28"/>
          <w:highlight w:val="none"/>
          <w:u w:val="single"/>
          <w:lang w:val="en-US" w:eastAsia="zh-CN"/>
        </w:rPr>
        <w:t>9</w:t>
      </w:r>
      <w:r>
        <w:rPr>
          <w:rFonts w:hint="eastAsia" w:ascii="仿宋_GB2312" w:hAnsi="仿宋_GB2312" w:eastAsia="仿宋_GB2312" w:cs="仿宋_GB2312"/>
          <w:sz w:val="28"/>
          <w:szCs w:val="28"/>
          <w:highlight w:val="none"/>
          <w:u w:val="single"/>
        </w:rPr>
        <w:t>月</w:t>
      </w:r>
      <w:r>
        <w:rPr>
          <w:rFonts w:hint="eastAsia" w:ascii="仿宋_GB2312" w:hAnsi="仿宋_GB2312" w:eastAsia="仿宋_GB2312" w:cs="仿宋_GB2312"/>
          <w:sz w:val="28"/>
          <w:szCs w:val="28"/>
          <w:highlight w:val="none"/>
          <w:u w:val="single"/>
          <w:lang w:val="en-US" w:eastAsia="zh-CN"/>
        </w:rPr>
        <w:t>30</w:t>
      </w:r>
      <w:r>
        <w:rPr>
          <w:rFonts w:hint="eastAsia" w:ascii="仿宋_GB2312" w:hAnsi="仿宋_GB2312" w:eastAsia="仿宋_GB2312" w:cs="仿宋_GB2312"/>
          <w:sz w:val="28"/>
          <w:szCs w:val="28"/>
          <w:highlight w:val="none"/>
          <w:u w:val="single"/>
        </w:rPr>
        <w:t>日</w:t>
      </w:r>
    </w:p>
    <w:p>
      <w:pPr>
        <w:spacing w:line="360" w:lineRule="auto"/>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4、磋商响应文件递交截止时间：</w:t>
      </w:r>
      <w:r>
        <w:rPr>
          <w:rFonts w:hint="eastAsia" w:ascii="仿宋_GB2312" w:hAnsi="仿宋_GB2312" w:eastAsia="仿宋_GB2312" w:cs="仿宋_GB2312"/>
          <w:sz w:val="28"/>
          <w:szCs w:val="28"/>
          <w:highlight w:val="none"/>
          <w:u w:val="single"/>
        </w:rPr>
        <w:t>2020年10月1</w:t>
      </w:r>
      <w:r>
        <w:rPr>
          <w:rFonts w:hint="eastAsia" w:ascii="仿宋_GB2312" w:hAnsi="仿宋_GB2312" w:eastAsia="仿宋_GB2312" w:cs="仿宋_GB2312"/>
          <w:sz w:val="28"/>
          <w:szCs w:val="28"/>
          <w:highlight w:val="none"/>
          <w:u w:val="single"/>
          <w:lang w:val="en-US" w:eastAsia="zh-CN"/>
        </w:rPr>
        <w:t>5</w:t>
      </w:r>
      <w:r>
        <w:rPr>
          <w:rFonts w:hint="eastAsia" w:ascii="仿宋_GB2312" w:hAnsi="仿宋_GB2312" w:eastAsia="仿宋_GB2312" w:cs="仿宋_GB2312"/>
          <w:sz w:val="28"/>
          <w:szCs w:val="28"/>
          <w:highlight w:val="none"/>
          <w:u w:val="single"/>
        </w:rPr>
        <w:t>日</w:t>
      </w:r>
      <w:r>
        <w:rPr>
          <w:rFonts w:hint="eastAsia" w:ascii="仿宋_GB2312" w:hAnsi="仿宋_GB2312" w:eastAsia="仿宋_GB2312" w:cs="仿宋_GB2312"/>
          <w:sz w:val="28"/>
          <w:szCs w:val="28"/>
          <w:highlight w:val="none"/>
          <w:u w:val="single"/>
          <w:lang w:eastAsia="zh-CN"/>
        </w:rPr>
        <w:t>下</w:t>
      </w:r>
      <w:r>
        <w:rPr>
          <w:rFonts w:hint="eastAsia" w:ascii="仿宋_GB2312" w:hAnsi="仿宋_GB2312" w:eastAsia="仿宋_GB2312" w:cs="仿宋_GB2312"/>
          <w:sz w:val="28"/>
          <w:szCs w:val="28"/>
          <w:highlight w:val="none"/>
          <w:u w:val="single"/>
        </w:rPr>
        <w:t>午</w:t>
      </w:r>
      <w:r>
        <w:rPr>
          <w:rFonts w:hint="eastAsia" w:ascii="仿宋_GB2312" w:hAnsi="仿宋_GB2312" w:eastAsia="仿宋_GB2312" w:cs="仿宋_GB2312"/>
          <w:sz w:val="28"/>
          <w:szCs w:val="28"/>
          <w:highlight w:val="none"/>
          <w:u w:val="single"/>
          <w:lang w:val="en-US" w:eastAsia="zh-CN"/>
        </w:rPr>
        <w:t>13</w:t>
      </w:r>
      <w:r>
        <w:rPr>
          <w:rFonts w:hint="eastAsia" w:ascii="仿宋_GB2312" w:hAnsi="仿宋_GB2312" w:eastAsia="仿宋_GB2312" w:cs="仿宋_GB2312"/>
          <w:sz w:val="28"/>
          <w:szCs w:val="28"/>
          <w:highlight w:val="none"/>
          <w:u w:val="single"/>
        </w:rPr>
        <w:t>：50</w:t>
      </w:r>
    </w:p>
    <w:p>
      <w:pPr>
        <w:spacing w:line="360" w:lineRule="auto"/>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5、竞争性磋商时间：</w:t>
      </w:r>
      <w:r>
        <w:rPr>
          <w:rFonts w:hint="eastAsia" w:ascii="仿宋_GB2312" w:hAnsi="仿宋_GB2312" w:eastAsia="仿宋_GB2312" w:cs="仿宋_GB2312"/>
          <w:sz w:val="28"/>
          <w:szCs w:val="28"/>
          <w:highlight w:val="none"/>
          <w:u w:val="single"/>
        </w:rPr>
        <w:t>2020年10月1</w:t>
      </w:r>
      <w:r>
        <w:rPr>
          <w:rFonts w:hint="eastAsia" w:ascii="仿宋_GB2312" w:hAnsi="仿宋_GB2312" w:eastAsia="仿宋_GB2312" w:cs="仿宋_GB2312"/>
          <w:sz w:val="28"/>
          <w:szCs w:val="28"/>
          <w:highlight w:val="none"/>
          <w:u w:val="single"/>
          <w:lang w:val="en-US" w:eastAsia="zh-CN"/>
        </w:rPr>
        <w:t>5</w:t>
      </w:r>
      <w:r>
        <w:rPr>
          <w:rFonts w:hint="eastAsia" w:ascii="仿宋_GB2312" w:hAnsi="仿宋_GB2312" w:eastAsia="仿宋_GB2312" w:cs="仿宋_GB2312"/>
          <w:sz w:val="28"/>
          <w:szCs w:val="28"/>
          <w:highlight w:val="none"/>
          <w:u w:val="single"/>
        </w:rPr>
        <w:t>日</w:t>
      </w:r>
      <w:r>
        <w:rPr>
          <w:rFonts w:hint="eastAsia" w:ascii="仿宋_GB2312" w:hAnsi="仿宋_GB2312" w:eastAsia="仿宋_GB2312" w:cs="仿宋_GB2312"/>
          <w:sz w:val="28"/>
          <w:szCs w:val="28"/>
          <w:highlight w:val="none"/>
          <w:u w:val="single"/>
          <w:lang w:eastAsia="zh-CN"/>
        </w:rPr>
        <w:t>下</w:t>
      </w:r>
      <w:r>
        <w:rPr>
          <w:rFonts w:hint="eastAsia" w:ascii="仿宋_GB2312" w:hAnsi="仿宋_GB2312" w:eastAsia="仿宋_GB2312" w:cs="仿宋_GB2312"/>
          <w:sz w:val="28"/>
          <w:szCs w:val="28"/>
          <w:highlight w:val="none"/>
          <w:u w:val="single"/>
        </w:rPr>
        <w:t>午</w:t>
      </w:r>
      <w:r>
        <w:rPr>
          <w:rFonts w:hint="eastAsia" w:ascii="仿宋_GB2312" w:hAnsi="仿宋_GB2312" w:eastAsia="仿宋_GB2312" w:cs="仿宋_GB2312"/>
          <w:sz w:val="28"/>
          <w:szCs w:val="28"/>
          <w:highlight w:val="none"/>
          <w:u w:val="single"/>
          <w:lang w:val="en-US" w:eastAsia="zh-CN"/>
        </w:rPr>
        <w:t>13</w:t>
      </w:r>
      <w:r>
        <w:rPr>
          <w:rFonts w:hint="eastAsia" w:ascii="仿宋_GB2312" w:hAnsi="仿宋_GB2312" w:eastAsia="仿宋_GB2312" w:cs="仿宋_GB2312"/>
          <w:sz w:val="28"/>
          <w:szCs w:val="28"/>
          <w:highlight w:val="none"/>
          <w:u w:val="single"/>
        </w:rPr>
        <w:t>：50</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6、竞争性磋商地点：江苏张家港市人民中路66号，张家港农村商业银行总行大厦</w:t>
      </w:r>
      <w:r>
        <w:rPr>
          <w:rFonts w:hint="eastAsia" w:ascii="仿宋_GB2312" w:hAnsi="仿宋_GB2312" w:eastAsia="仿宋_GB2312" w:cs="仿宋_GB2312"/>
          <w:b/>
          <w:bCs/>
          <w:sz w:val="28"/>
          <w:szCs w:val="28"/>
          <w:lang w:val="en-US" w:eastAsia="zh-CN"/>
        </w:rPr>
        <w:t>9</w:t>
      </w:r>
      <w:r>
        <w:rPr>
          <w:rFonts w:hint="eastAsia" w:ascii="仿宋_GB2312" w:hAnsi="仿宋_GB2312" w:eastAsia="仿宋_GB2312" w:cs="仿宋_GB2312"/>
          <w:b/>
          <w:bCs/>
          <w:sz w:val="28"/>
          <w:szCs w:val="28"/>
        </w:rPr>
        <w:t>楼会议室</w:t>
      </w:r>
      <w:r>
        <w:rPr>
          <w:rFonts w:hint="eastAsia" w:ascii="仿宋_GB2312" w:hAnsi="仿宋_GB2312" w:eastAsia="仿宋_GB2312" w:cs="仿宋_GB2312"/>
          <w:sz w:val="28"/>
          <w:szCs w:val="28"/>
        </w:rPr>
        <w:t>。</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7、采购人联系方式：</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项目联系人：徐徐；电话号码：0512-56968227/18962282755</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响应文件接收：</w:t>
      </w:r>
      <w:r>
        <w:rPr>
          <w:rFonts w:hint="eastAsia" w:ascii="仿宋_GB2312" w:hAnsi="仿宋_GB2312" w:eastAsia="仿宋_GB2312" w:cs="仿宋_GB2312"/>
          <w:sz w:val="28"/>
          <w:szCs w:val="28"/>
          <w:lang w:eastAsia="zh-CN"/>
        </w:rPr>
        <w:t>许伟波</w:t>
      </w:r>
      <w:r>
        <w:rPr>
          <w:rFonts w:hint="eastAsia" w:ascii="仿宋_GB2312" w:hAnsi="仿宋_GB2312" w:eastAsia="仿宋_GB2312" w:cs="仿宋_GB2312"/>
          <w:sz w:val="28"/>
          <w:szCs w:val="28"/>
        </w:rPr>
        <w:t>；电话号码：0512-56968</w:t>
      </w:r>
      <w:r>
        <w:rPr>
          <w:rFonts w:hint="eastAsia" w:ascii="仿宋_GB2312" w:hAnsi="仿宋_GB2312" w:eastAsia="仿宋_GB2312" w:cs="仿宋_GB2312"/>
          <w:sz w:val="28"/>
          <w:szCs w:val="28"/>
          <w:lang w:val="en-US" w:eastAsia="zh-CN"/>
        </w:rPr>
        <w:t>249</w:t>
      </w:r>
      <w:r>
        <w:rPr>
          <w:rFonts w:hint="eastAsia" w:ascii="仿宋_GB2312" w:hAnsi="仿宋_GB2312" w:eastAsia="仿宋_GB2312" w:cs="仿宋_GB2312"/>
          <w:sz w:val="28"/>
          <w:szCs w:val="28"/>
        </w:rPr>
        <w:t>。</w:t>
      </w:r>
    </w:p>
    <w:p>
      <w:pPr>
        <w:pStyle w:val="2"/>
        <w:numPr>
          <w:ilvl w:val="0"/>
          <w:numId w:val="3"/>
        </w:numPr>
        <w:rPr>
          <w:rFonts w:hint="eastAsia" w:ascii="仿宋_GB2312" w:hAnsi="仿宋_GB2312" w:eastAsia="仿宋_GB2312" w:cs="仿宋_GB2312"/>
          <w:kern w:val="2"/>
          <w:sz w:val="28"/>
          <w:szCs w:val="28"/>
          <w:lang w:val="en-US" w:eastAsia="zh-CN" w:bidi="ar-SA"/>
        </w:rPr>
      </w:pPr>
      <w:bookmarkStart w:id="61" w:name="_GoBack"/>
      <w:r>
        <w:rPr>
          <w:rFonts w:hint="eastAsia" w:ascii="仿宋_GB2312" w:hAnsi="仿宋_GB2312" w:eastAsia="仿宋_GB2312" w:cs="仿宋_GB2312"/>
          <w:color w:val="auto"/>
          <w:kern w:val="2"/>
          <w:sz w:val="28"/>
          <w:szCs w:val="28"/>
          <w:u w:val="single"/>
          <w:lang w:val="en-US" w:eastAsia="zh-CN" w:bidi="ar-SA"/>
        </w:rPr>
        <w:fldChar w:fldCharType="begin"/>
      </w:r>
      <w:r>
        <w:rPr>
          <w:rFonts w:hint="eastAsia" w:ascii="仿宋_GB2312" w:hAnsi="仿宋_GB2312" w:eastAsia="仿宋_GB2312" w:cs="仿宋_GB2312"/>
          <w:color w:val="auto"/>
          <w:kern w:val="2"/>
          <w:sz w:val="28"/>
          <w:szCs w:val="28"/>
          <w:u w:val="single"/>
          <w:lang w:val="en-US" w:eastAsia="zh-CN" w:bidi="ar-SA"/>
        </w:rPr>
        <w:instrText xml:space="preserve"> HYPERLINK "mailto:供应商应填写附件《报名表》，在截止日前将报名表发送至采购人邮箱jzcg@zrcbank.com。" </w:instrText>
      </w:r>
      <w:r>
        <w:rPr>
          <w:rFonts w:hint="eastAsia" w:ascii="仿宋_GB2312" w:hAnsi="仿宋_GB2312" w:eastAsia="仿宋_GB2312" w:cs="仿宋_GB2312"/>
          <w:color w:val="auto"/>
          <w:kern w:val="2"/>
          <w:sz w:val="28"/>
          <w:szCs w:val="28"/>
          <w:u w:val="single"/>
          <w:lang w:val="en-US" w:eastAsia="zh-CN" w:bidi="ar-SA"/>
        </w:rPr>
        <w:fldChar w:fldCharType="separate"/>
      </w:r>
      <w:r>
        <w:rPr>
          <w:rStyle w:val="18"/>
          <w:rFonts w:hint="eastAsia" w:ascii="仿宋_GB2312" w:hAnsi="仿宋_GB2312" w:eastAsia="仿宋_GB2312" w:cs="仿宋_GB2312"/>
          <w:color w:val="auto"/>
          <w:kern w:val="2"/>
          <w:sz w:val="28"/>
          <w:szCs w:val="28"/>
          <w:u w:val="single"/>
          <w:lang w:val="en-US" w:eastAsia="zh-CN" w:bidi="ar-SA"/>
        </w:rPr>
        <w:t>供应商应填写附件《报名表》，在截止日前将报名表发送至采购人邮箱jzcg@zrcbank.com。</w:t>
      </w:r>
      <w:r>
        <w:rPr>
          <w:rFonts w:hint="eastAsia" w:ascii="仿宋_GB2312" w:hAnsi="仿宋_GB2312" w:eastAsia="仿宋_GB2312" w:cs="仿宋_GB2312"/>
          <w:color w:val="auto"/>
          <w:kern w:val="2"/>
          <w:sz w:val="28"/>
          <w:szCs w:val="28"/>
          <w:u w:val="single"/>
          <w:lang w:val="en-US" w:eastAsia="zh-CN" w:bidi="ar-SA"/>
        </w:rPr>
        <w:fldChar w:fldCharType="end"/>
      </w:r>
      <w:bookmarkEnd w:id="61"/>
    </w:p>
    <w:p>
      <w:pPr>
        <w:pStyle w:val="2"/>
        <w:numPr>
          <w:ilvl w:val="0"/>
          <w:numId w:val="3"/>
        </w:numPr>
        <w:rPr>
          <w:rFonts w:hint="default"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采购文件请下载附件。</w:t>
      </w: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sectPr>
          <w:pgSz w:w="11906" w:h="16838"/>
          <w:pgMar w:top="1361" w:right="1080" w:bottom="1361" w:left="1080" w:header="851" w:footer="992" w:gutter="0"/>
          <w:cols w:space="720" w:num="1"/>
          <w:docGrid w:type="lines" w:linePitch="312" w:charSpace="0"/>
        </w:sectPr>
      </w:pPr>
    </w:p>
    <w:p>
      <w:pPr>
        <w:spacing w:line="360" w:lineRule="auto"/>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第二部分 竞争性磋商须知</w:t>
      </w:r>
    </w:p>
    <w:p>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（一）总体说明</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1、适用范围</w:t>
      </w:r>
    </w:p>
    <w:p>
      <w:pPr>
        <w:spacing w:line="360" w:lineRule="auto"/>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1.1本竞争性磋商文件仅适用于江苏张家港农村商业银行股份有限公司</w:t>
      </w:r>
      <w:r>
        <w:rPr>
          <w:rFonts w:hint="eastAsia" w:ascii="仿宋_GB2312" w:hAnsi="仿宋_GB2312" w:eastAsia="仿宋_GB2312" w:cs="仿宋_GB2312"/>
          <w:snapToGrid w:val="0"/>
          <w:sz w:val="28"/>
          <w:szCs w:val="28"/>
          <w:u w:val="single"/>
        </w:rPr>
        <w:t>新一代信贷系统PMO</w:t>
      </w:r>
      <w:r>
        <w:rPr>
          <w:rFonts w:hint="eastAsia" w:ascii="仿宋_GB2312" w:hAnsi="仿宋_GB2312" w:eastAsia="仿宋_GB2312" w:cs="仿宋_GB2312"/>
          <w:snapToGrid w:val="0"/>
          <w:sz w:val="28"/>
          <w:szCs w:val="28"/>
          <w:u w:val="single"/>
          <w:lang w:eastAsia="zh-CN"/>
        </w:rPr>
        <w:t>管理模式</w:t>
      </w:r>
      <w:r>
        <w:rPr>
          <w:rFonts w:hint="eastAsia" w:ascii="仿宋_GB2312" w:hAnsi="仿宋_GB2312" w:eastAsia="仿宋_GB2312" w:cs="仿宋_GB2312"/>
          <w:snapToGrid w:val="0"/>
          <w:sz w:val="28"/>
          <w:szCs w:val="28"/>
          <w:u w:val="single"/>
        </w:rPr>
        <w:t>项目</w:t>
      </w:r>
      <w:r>
        <w:rPr>
          <w:rFonts w:hint="eastAsia" w:ascii="仿宋_GB2312" w:hAnsi="仿宋_GB2312" w:eastAsia="仿宋_GB2312" w:cs="仿宋_GB2312"/>
          <w:snapToGrid w:val="0"/>
          <w:sz w:val="28"/>
          <w:szCs w:val="28"/>
        </w:rPr>
        <w:t>。</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2、定义</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2.1“采购人”系指组织本次竞争性磋商的机构：江苏张家港农村商业银行股份有限公司。</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2.2“供应商”系指响应竞争性磋商文件、参加竞争的法人或者其他组织。</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2.3“成交人”系最终成交的供应商。</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2.4“设备（系统）”系指供应商按竞争性磋商文件规定，须向采购人提供的设备、软件系统、备品备件、工具、手册及其他有关技术资料和材料。</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2.5“服务”系指竞争性磋商文件规定供应商须承担的技术服务、运输、安装调试、人员培训、售后服务和其他类似的义务。</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2.6“竞争性磋商文件”系指本文件及其附件，如采购人对竞争性磋商文件及其附件进行有效的修改或澄清则该修改和澄清构成竞争性磋商文件不可分割的一部分。</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2.7“磋商响应文件”系指供应商按照竞争性磋商文件要求编写，并向采购人递交的有效的文字说明、表格、图表等文件，如供应商对磋商响应文件进行有效的补充、修改、澄清或说明则该补充、修改、澄清和说明构成磋商响应文件不可分割的一部分。</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3、供应商资格要求</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3.1、</w:t>
      </w:r>
      <w:r>
        <w:rPr>
          <w:rFonts w:hint="eastAsia" w:ascii="仿宋_GB2312" w:hAnsi="仿宋_GB2312" w:eastAsia="仿宋_GB2312" w:cs="仿宋_GB2312"/>
          <w:sz w:val="28"/>
          <w:szCs w:val="28"/>
          <w:u w:val="single"/>
        </w:rPr>
        <w:t>中华人民共和国境内注册的独立法人单位，具有独立承担民事责任的能力,公司注册资本不少于1000万元人民币，注册时间不少于3年（含），营业执照经营范围包含本项目内容。</w:t>
      </w:r>
    </w:p>
    <w:p>
      <w:pPr>
        <w:spacing w:line="360" w:lineRule="auto"/>
        <w:rPr>
          <w:rFonts w:hint="eastAsia" w:ascii="仿宋_GB2312" w:hAnsi="仿宋_GB2312" w:eastAsia="仿宋_GB2312" w:cs="仿宋_GB2312"/>
          <w:sz w:val="28"/>
          <w:szCs w:val="28"/>
          <w:highlight w:val="yellow"/>
          <w:u w:val="single"/>
        </w:rPr>
      </w:pPr>
      <w:r>
        <w:rPr>
          <w:rFonts w:hint="eastAsia" w:ascii="仿宋_GB2312" w:hAnsi="仿宋_GB2312" w:eastAsia="仿宋_GB2312" w:cs="仿宋_GB2312"/>
          <w:sz w:val="28"/>
          <w:szCs w:val="28"/>
        </w:rPr>
        <w:t>3.2、</w:t>
      </w:r>
      <w:r>
        <w:rPr>
          <w:rFonts w:hint="eastAsia" w:ascii="仿宋_GB2312" w:hAnsi="仿宋_GB2312" w:eastAsia="仿宋_GB2312" w:cs="仿宋_GB2312"/>
          <w:sz w:val="28"/>
          <w:szCs w:val="28"/>
          <w:highlight w:val="yellow"/>
          <w:u w:val="single"/>
        </w:rPr>
        <w:t>供应商必须具有信贷系统相关评估咨询、建设等项目经验，提供2017年以来</w:t>
      </w:r>
      <w:r>
        <w:rPr>
          <w:rFonts w:hint="eastAsia" w:ascii="仿宋_GB2312" w:hAnsi="仿宋_GB2312" w:eastAsia="仿宋_GB2312" w:cs="仿宋_GB2312"/>
          <w:sz w:val="28"/>
          <w:szCs w:val="28"/>
          <w:highlight w:val="yellow"/>
          <w:u w:val="single"/>
          <w:lang w:eastAsia="zh-CN"/>
        </w:rPr>
        <w:t>在金融机构</w:t>
      </w:r>
      <w:r>
        <w:rPr>
          <w:rFonts w:hint="eastAsia" w:ascii="仿宋_GB2312" w:hAnsi="仿宋_GB2312" w:eastAsia="仿宋_GB2312" w:cs="仿宋_GB2312"/>
          <w:sz w:val="28"/>
          <w:szCs w:val="28"/>
          <w:highlight w:val="yellow"/>
          <w:u w:val="single"/>
        </w:rPr>
        <w:t>成功实施信贷系统PMO管理项目或同等级难度的项目群PMO管理相关案例</w:t>
      </w:r>
      <w:r>
        <w:rPr>
          <w:rFonts w:hint="eastAsia" w:ascii="仿宋_GB2312" w:hAnsi="仿宋_GB2312" w:eastAsia="仿宋_GB2312" w:cs="仿宋_GB2312"/>
          <w:sz w:val="28"/>
          <w:szCs w:val="28"/>
          <w:highlight w:val="yellow"/>
          <w:u w:val="single"/>
          <w:lang w:eastAsia="zh-CN"/>
        </w:rPr>
        <w:t>。（提供</w:t>
      </w:r>
      <w:r>
        <w:rPr>
          <w:rFonts w:hint="eastAsia" w:ascii="仿宋_GB2312" w:hAnsi="仿宋_GB2312" w:eastAsia="仿宋_GB2312" w:cs="仿宋_GB2312"/>
          <w:sz w:val="28"/>
          <w:szCs w:val="28"/>
          <w:highlight w:val="yellow"/>
          <w:u w:val="single"/>
        </w:rPr>
        <w:t>相应</w:t>
      </w:r>
      <w:r>
        <w:rPr>
          <w:rFonts w:hint="eastAsia" w:ascii="仿宋_GB2312" w:hAnsi="仿宋_GB2312" w:eastAsia="仿宋_GB2312" w:cs="仿宋_GB2312"/>
          <w:b/>
          <w:bCs/>
          <w:sz w:val="28"/>
          <w:szCs w:val="28"/>
          <w:highlight w:val="yellow"/>
          <w:u w:val="single"/>
        </w:rPr>
        <w:t>合同复印件</w:t>
      </w:r>
      <w:r>
        <w:rPr>
          <w:rFonts w:hint="eastAsia" w:ascii="仿宋_GB2312" w:hAnsi="仿宋_GB2312" w:eastAsia="仿宋_GB2312" w:cs="仿宋_GB2312"/>
          <w:b/>
          <w:bCs/>
          <w:sz w:val="28"/>
          <w:szCs w:val="28"/>
          <w:highlight w:val="yellow"/>
          <w:u w:val="single"/>
          <w:lang w:eastAsia="zh-CN"/>
        </w:rPr>
        <w:t>）</w:t>
      </w:r>
      <w:r>
        <w:rPr>
          <w:rFonts w:hint="eastAsia" w:ascii="仿宋_GB2312" w:hAnsi="仿宋_GB2312" w:eastAsia="仿宋_GB2312" w:cs="仿宋_GB2312"/>
          <w:sz w:val="28"/>
          <w:szCs w:val="28"/>
          <w:highlight w:val="yellow"/>
          <w:u w:val="single"/>
        </w:rPr>
        <w:t>。</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3.3、</w:t>
      </w:r>
      <w:r>
        <w:rPr>
          <w:rFonts w:hint="eastAsia" w:ascii="仿宋_GB2312" w:hAnsi="仿宋_GB2312" w:eastAsia="仿宋_GB2312" w:cs="仿宋_GB2312"/>
          <w:sz w:val="28"/>
          <w:szCs w:val="28"/>
          <w:u w:val="single"/>
        </w:rPr>
        <w:t>供应商需针对本项目提供固定的信贷系统相关建设方面的专家（提供相关认证证书、工作履历及近</w:t>
      </w:r>
      <w:r>
        <w:rPr>
          <w:rFonts w:hint="eastAsia" w:ascii="仿宋_GB2312" w:hAnsi="仿宋_GB2312" w:eastAsia="仿宋_GB2312" w:cs="仿宋_GB2312"/>
          <w:sz w:val="28"/>
          <w:szCs w:val="28"/>
          <w:u w:val="single"/>
          <w:lang w:val="en-US" w:eastAsia="zh-CN"/>
        </w:rPr>
        <w:t>3</w:t>
      </w:r>
      <w:r>
        <w:rPr>
          <w:rFonts w:hint="eastAsia" w:ascii="仿宋_GB2312" w:hAnsi="仿宋_GB2312" w:eastAsia="仿宋_GB2312" w:cs="仿宋_GB2312"/>
          <w:sz w:val="28"/>
          <w:szCs w:val="28"/>
          <w:u w:val="single"/>
        </w:rPr>
        <w:t>个月的社保证明）。</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3.4、供应商必须具有良好的经济和技术实力，能够按时提交采购人要求的交付件，并能够及时地提供采购人要求的优质服务。</w:t>
      </w:r>
    </w:p>
    <w:p>
      <w:pPr>
        <w:pStyle w:val="14"/>
        <w:widowControl/>
        <w:spacing w:beforeAutospacing="0" w:afterAutospacing="0"/>
        <w:rPr>
          <w:rFonts w:ascii="仿宋_GB2312" w:hAnsi="仿宋_GB2312" w:eastAsia="仿宋_GB2312" w:cs="仿宋_GB2312"/>
        </w:rPr>
      </w:pPr>
      <w:r>
        <w:rPr>
          <w:rFonts w:hint="eastAsia" w:ascii="仿宋_GB2312" w:hAnsi="仿宋_GB2312" w:eastAsia="仿宋_GB2312" w:cs="仿宋_GB2312"/>
          <w:sz w:val="28"/>
          <w:szCs w:val="28"/>
        </w:rPr>
        <w:t>3.5、供应商必须具有良好的资信和商业信誉，参与本次采购活动（以递交响应文件截止日计算）前三年内未出现重大违法违规记录。不处于被责令停产、停业，财产被接管、冻结、破产等非正常经营状态。采购人将通过</w:t>
      </w:r>
      <w:r>
        <w:rPr>
          <w:rFonts w:hint="eastAsia" w:ascii="仿宋_GB2312" w:hAnsi="仿宋_GB2312" w:eastAsia="仿宋_GB2312" w:cs="仿宋_GB2312"/>
          <w:sz w:val="28"/>
          <w:szCs w:val="28"/>
          <w:shd w:val="clear" w:color="auto" w:fill="FFFFFF"/>
        </w:rPr>
        <w:t>“信用中国”网站、“中国政府采购网”或其它渠道查询相关主体信用记录，</w:t>
      </w:r>
      <w:r>
        <w:rPr>
          <w:rFonts w:hint="eastAsia" w:ascii="仿宋_GB2312" w:hAnsi="仿宋_GB2312" w:eastAsia="仿宋_GB2312" w:cs="仿宋_GB2312"/>
          <w:sz w:val="28"/>
          <w:szCs w:val="28"/>
        </w:rPr>
        <w:t>拒绝被列入失信被执行人名单、重大税收违法案件当事人名单、政府采购严重违法失信行为记录名单中的供应商参加本项目的采购活动。</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3.6、本项目不接受联合体参与竞争性磋商，成交后不允许将本项目进行分包、转包。</w:t>
      </w:r>
    </w:p>
    <w:p>
      <w:pPr>
        <w:pStyle w:val="2"/>
        <w:rPr>
          <w:rFonts w:ascii="仿宋_GB2312" w:hAnsi="仿宋_GB2312" w:eastAsia="仿宋_GB2312" w:cs="仿宋_GB2312"/>
          <w:sz w:val="28"/>
          <w:szCs w:val="28"/>
        </w:rPr>
      </w:pPr>
      <w:r>
        <w:rPr>
          <w:rFonts w:hint="eastAsia" w:ascii="仿宋_GB2312" w:hAnsi="仿宋_GB2312" w:eastAsia="仿宋_GB2312" w:cs="仿宋_GB2312"/>
          <w:sz w:val="28"/>
          <w:szCs w:val="28"/>
        </w:rPr>
        <w:t>3.7 在收到成交通知后，成交人应在收到成交通知书后10个自然日内安排项目团队进场，确保采购人项目稳步推进。</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4、磋商保证金</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4.1供应商须在递交响应文件截止时间前交纳磋商保证金（以实际到帐时间为准计算），磋商保证金金额为人民币</w:t>
      </w:r>
      <w:r>
        <w:rPr>
          <w:rFonts w:hint="eastAsia" w:ascii="仿宋_GB2312" w:hAnsi="仿宋_GB2312" w:eastAsia="仿宋_GB2312" w:cs="仿宋_GB2312"/>
          <w:b/>
          <w:bCs/>
          <w:sz w:val="28"/>
          <w:szCs w:val="28"/>
          <w:u w:val="single"/>
        </w:rPr>
        <w:t>叁万元</w:t>
      </w:r>
      <w:r>
        <w:rPr>
          <w:rFonts w:hint="eastAsia" w:ascii="仿宋_GB2312" w:hAnsi="仿宋_GB2312" w:eastAsia="仿宋_GB2312" w:cs="仿宋_GB2312"/>
          <w:sz w:val="28"/>
          <w:szCs w:val="28"/>
        </w:rPr>
        <w:t>整（30000元）。磋商保证金必须从供应商</w:t>
      </w:r>
      <w:r>
        <w:rPr>
          <w:rFonts w:hint="eastAsia" w:ascii="仿宋_GB2312" w:hAnsi="仿宋_GB2312" w:eastAsia="仿宋_GB2312" w:cs="仿宋_GB2312"/>
          <w:b/>
          <w:bCs/>
          <w:sz w:val="28"/>
          <w:szCs w:val="28"/>
        </w:rPr>
        <w:t>公司（企业）帐户</w:t>
      </w:r>
      <w:r>
        <w:rPr>
          <w:rFonts w:hint="eastAsia" w:ascii="仿宋_GB2312" w:hAnsi="仿宋_GB2312" w:eastAsia="仿宋_GB2312" w:cs="仿宋_GB2312"/>
          <w:sz w:val="28"/>
          <w:szCs w:val="28"/>
        </w:rPr>
        <w:t>以</w:t>
      </w:r>
      <w:r>
        <w:rPr>
          <w:rFonts w:hint="eastAsia" w:ascii="仿宋_GB2312" w:hAnsi="仿宋_GB2312" w:eastAsia="仿宋_GB2312" w:cs="仿宋_GB2312"/>
          <w:b/>
          <w:bCs/>
          <w:sz w:val="28"/>
          <w:szCs w:val="28"/>
          <w:u w:val="single"/>
          <w:shd w:val="clear" w:color="FFFFFF" w:fill="D9D9D9"/>
        </w:rPr>
        <w:t>银行转账</w:t>
      </w:r>
      <w:r>
        <w:rPr>
          <w:rFonts w:hint="eastAsia" w:ascii="仿宋_GB2312" w:hAnsi="仿宋_GB2312" w:eastAsia="仿宋_GB2312" w:cs="仿宋_GB2312"/>
          <w:sz w:val="28"/>
          <w:szCs w:val="28"/>
        </w:rPr>
        <w:t>方式汇入采购人指定账户，采购人指定账户如下：</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户  名：</w:t>
      </w:r>
      <w:r>
        <w:rPr>
          <w:rFonts w:hint="eastAsia" w:ascii="仿宋_GB2312" w:hAnsi="仿宋_GB2312" w:eastAsia="仿宋_GB2312" w:cs="仿宋_GB2312"/>
          <w:sz w:val="28"/>
          <w:szCs w:val="28"/>
          <w:u w:val="single"/>
        </w:rPr>
        <w:t>江苏张家港农村商业银行股份有限公司</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rPr>
        <w:t>张家港农村商业银行营业部</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帐  号：</w:t>
      </w:r>
      <w:r>
        <w:rPr>
          <w:rFonts w:hint="eastAsia" w:ascii="仿宋_GB2312" w:hAnsi="仿宋_GB2312" w:eastAsia="仿宋_GB2312" w:cs="仿宋_GB2312"/>
          <w:sz w:val="28"/>
          <w:szCs w:val="28"/>
          <w:u w:val="single"/>
        </w:rPr>
        <w:t>901700120170500001</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4.2磋商保证金交纳证明文件（</w:t>
      </w:r>
      <w:r>
        <w:rPr>
          <w:rFonts w:hint="eastAsia" w:ascii="仿宋_GB2312" w:hAnsi="仿宋_GB2312" w:eastAsia="仿宋_GB2312" w:cs="仿宋_GB2312"/>
          <w:sz w:val="28"/>
          <w:szCs w:val="28"/>
          <w:shd w:val="clear" w:color="FFFFFF" w:fill="D9D9D9"/>
        </w:rPr>
        <w:t>电子回单</w:t>
      </w:r>
      <w:r>
        <w:rPr>
          <w:rFonts w:hint="eastAsia" w:ascii="仿宋_GB2312" w:hAnsi="仿宋_GB2312" w:eastAsia="仿宋_GB2312" w:cs="仿宋_GB2312"/>
          <w:sz w:val="28"/>
          <w:szCs w:val="28"/>
        </w:rPr>
        <w:t>）必须在递交响应文件截止时间前与响应文件一起送达谈判地点（不要密封在谈判文件中）。</w:t>
      </w:r>
    </w:p>
    <w:p>
      <w:pPr>
        <w:pStyle w:val="2"/>
        <w:rPr>
          <w:rFonts w:ascii="仿宋_GB2312" w:hAnsi="仿宋_GB2312" w:eastAsia="仿宋_GB2312" w:cs="仿宋_GB2312"/>
          <w:sz w:val="28"/>
          <w:szCs w:val="28"/>
        </w:rPr>
      </w:pPr>
      <w:r>
        <w:rPr>
          <w:rFonts w:hint="eastAsia" w:ascii="仿宋_GB2312" w:hAnsi="仿宋_GB2312" w:eastAsia="仿宋_GB2312" w:cs="仿宋_GB2312"/>
          <w:sz w:val="28"/>
          <w:szCs w:val="28"/>
        </w:rPr>
        <w:t>4.3</w:t>
      </w:r>
      <w:r>
        <w:rPr>
          <w:rFonts w:hint="eastAsia" w:ascii="仿宋_GB2312" w:hAnsi="仿宋_GB2312" w:eastAsia="仿宋_GB2312" w:cs="仿宋_GB2312"/>
          <w:b/>
          <w:bCs/>
          <w:sz w:val="28"/>
          <w:szCs w:val="28"/>
        </w:rPr>
        <w:t>特别提醒：采用其他方式交纳磋商保证金的，作无效响应处理。</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4.4对于未能按要求提交磋商保证金的供应商，采购人将视为不响应磋商文件而予以拒绝。</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u w:val="single"/>
        </w:rPr>
        <w:t>4.5成交人的磋商保证金：成交后，在合同履约执行完毕项目验收合格后一个月内全额退还（不计利息）；未成交的供应商的磋商保证金在确定成交人后（以成交通知发出为准）全额退还（不计利息），磋商保证金由采购人退回到</w:t>
      </w:r>
      <w:r>
        <w:rPr>
          <w:rFonts w:hint="eastAsia" w:ascii="仿宋_GB2312" w:hAnsi="仿宋_GB2312" w:eastAsia="仿宋_GB2312" w:cs="仿宋_GB2312"/>
          <w:b/>
          <w:bCs/>
          <w:sz w:val="28"/>
          <w:szCs w:val="28"/>
          <w:u w:val="single"/>
        </w:rPr>
        <w:t>供应商企业账户，非以上退款账户一律不接受</w:t>
      </w:r>
      <w:r>
        <w:rPr>
          <w:rFonts w:hint="eastAsia" w:ascii="仿宋_GB2312" w:hAnsi="仿宋_GB2312" w:eastAsia="仿宋_GB2312" w:cs="仿宋_GB2312"/>
          <w:sz w:val="28"/>
          <w:szCs w:val="28"/>
          <w:u w:val="single"/>
        </w:rPr>
        <w:t>。</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4.6在下述情况下，磋商保证金将不予退还：</w:t>
      </w:r>
    </w:p>
    <w:p>
      <w:pPr>
        <w:numPr>
          <w:ilvl w:val="0"/>
          <w:numId w:val="4"/>
        </w:numPr>
        <w:spacing w:line="360" w:lineRule="auto"/>
        <w:ind w:left="420"/>
        <w:rPr>
          <w:rFonts w:ascii="仿宋_GB2312" w:hAnsi="仿宋_GB2312" w:eastAsia="仿宋_GB2312" w:cs="仿宋_GB2312"/>
          <w:sz w:val="28"/>
          <w:szCs w:val="28"/>
        </w:rPr>
      </w:pPr>
      <w:r>
        <w:rPr>
          <w:rFonts w:hint="eastAsia" w:ascii="仿宋_GB2312" w:hAnsi="仿宋_GB2312" w:eastAsia="仿宋_GB2312" w:cs="仿宋_GB2312"/>
          <w:sz w:val="28"/>
          <w:szCs w:val="28"/>
        </w:rPr>
        <w:t>供应商在提交响应文件截止时间后撤回响应文件的；</w:t>
      </w:r>
    </w:p>
    <w:p>
      <w:pPr>
        <w:numPr>
          <w:ilvl w:val="0"/>
          <w:numId w:val="4"/>
        </w:numPr>
        <w:spacing w:line="360" w:lineRule="auto"/>
        <w:ind w:left="420"/>
        <w:rPr>
          <w:rFonts w:ascii="仿宋_GB2312" w:hAnsi="仿宋_GB2312" w:eastAsia="仿宋_GB2312" w:cs="仿宋_GB2312"/>
          <w:sz w:val="28"/>
          <w:szCs w:val="28"/>
        </w:rPr>
      </w:pPr>
      <w:r>
        <w:rPr>
          <w:rFonts w:hint="eastAsia" w:ascii="仿宋_GB2312" w:hAnsi="仿宋_GB2312" w:eastAsia="仿宋_GB2312" w:cs="仿宋_GB2312"/>
          <w:sz w:val="28"/>
          <w:szCs w:val="28"/>
        </w:rPr>
        <w:t>供应商在响应文件中提供虚假材料的；</w:t>
      </w:r>
    </w:p>
    <w:p>
      <w:pPr>
        <w:numPr>
          <w:ilvl w:val="0"/>
          <w:numId w:val="4"/>
        </w:numPr>
        <w:spacing w:line="360" w:lineRule="auto"/>
        <w:ind w:left="420"/>
        <w:rPr>
          <w:rFonts w:ascii="仿宋_GB2312" w:hAnsi="仿宋_GB2312" w:eastAsia="仿宋_GB2312" w:cs="仿宋_GB2312"/>
          <w:sz w:val="28"/>
          <w:szCs w:val="28"/>
        </w:rPr>
      </w:pPr>
      <w:r>
        <w:rPr>
          <w:rFonts w:hint="eastAsia" w:ascii="仿宋_GB2312" w:hAnsi="仿宋_GB2312" w:eastAsia="仿宋_GB2312" w:cs="仿宋_GB2312"/>
          <w:sz w:val="28"/>
          <w:szCs w:val="28"/>
        </w:rPr>
        <w:t>除因不可抗力或谈判文件认可的情形以外，成交供应商不与采购人签订合同的；</w:t>
      </w:r>
    </w:p>
    <w:p>
      <w:pPr>
        <w:numPr>
          <w:ilvl w:val="0"/>
          <w:numId w:val="4"/>
        </w:numPr>
        <w:spacing w:line="360" w:lineRule="auto"/>
        <w:ind w:left="420"/>
        <w:rPr>
          <w:rFonts w:ascii="仿宋_GB2312" w:hAnsi="仿宋_GB2312" w:eastAsia="仿宋_GB2312" w:cs="仿宋_GB2312"/>
          <w:sz w:val="28"/>
          <w:szCs w:val="28"/>
        </w:rPr>
      </w:pPr>
      <w:r>
        <w:rPr>
          <w:rFonts w:hint="eastAsia" w:ascii="仿宋_GB2312" w:hAnsi="仿宋_GB2312" w:eastAsia="仿宋_GB2312" w:cs="仿宋_GB2312"/>
          <w:sz w:val="28"/>
          <w:szCs w:val="28"/>
        </w:rPr>
        <w:t>供应商与采购人、其他供应商或者采购代理机构恶意串通的；</w:t>
      </w:r>
    </w:p>
    <w:p>
      <w:pPr>
        <w:numPr>
          <w:ilvl w:val="0"/>
          <w:numId w:val="4"/>
        </w:numPr>
        <w:spacing w:line="360" w:lineRule="auto"/>
        <w:ind w:left="420"/>
        <w:rPr>
          <w:rFonts w:ascii="仿宋_GB2312" w:hAnsi="仿宋_GB2312" w:eastAsia="仿宋_GB2312" w:cs="仿宋_GB2312"/>
          <w:sz w:val="28"/>
          <w:szCs w:val="28"/>
        </w:rPr>
      </w:pPr>
      <w:r>
        <w:rPr>
          <w:rFonts w:hint="eastAsia" w:ascii="仿宋_GB2312" w:hAnsi="仿宋_GB2312" w:eastAsia="仿宋_GB2312" w:cs="仿宋_GB2312"/>
          <w:sz w:val="28"/>
          <w:szCs w:val="28"/>
        </w:rPr>
        <w:t>谈判文件规定的其他情形。</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5、磋商费用</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5.1供应商应自行承担所有与参加磋商有关的费用，无论磋商过程及结果如何，采购人在任何情况下均无义务和责任承担这些费用。</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6、竞争性磋商文件的解释及咨询</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napToGrid w:val="0"/>
          <w:sz w:val="28"/>
          <w:szCs w:val="28"/>
        </w:rPr>
        <w:t>6.1本竞争性磋商文件的解释权属采购人。</w:t>
      </w:r>
      <w:r>
        <w:rPr>
          <w:rFonts w:hint="eastAsia" w:ascii="仿宋_GB2312" w:hAnsi="仿宋_GB2312" w:eastAsia="仿宋_GB2312" w:cs="仿宋_GB2312"/>
          <w:sz w:val="28"/>
          <w:szCs w:val="28"/>
        </w:rPr>
        <w:t>对本次竞争性磋商有任何询问，请与张家港农村商业银行本次项目联系人联系。</w:t>
      </w:r>
    </w:p>
    <w:p>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（二）竞争性磋商文件说明</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7、竞争性磋商文件构成</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7.1竞争性磋商文件包括下列内容：</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1）竞争性磋商公告</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2）竞争性磋商须知</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3）竞争性磋商项目要求</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4）磋商响应文件格式</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7.2请仔细检查竞争性磋商文件是否齐全，如有缺漏请立即与采购人联系解决。</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7.3供应商应认真阅读竞争性磋商文件中所有的事项、格式、条款和规范等要求。按竞争性磋商文件要求和规定编制磋商响应文件，并保证所提供的全部资料的真实性，以使其磋商响应文件对竞争性磋商文件作出实质性响应，否则其响应</w:t>
      </w:r>
      <w:r>
        <w:rPr>
          <w:rFonts w:hint="eastAsia" w:ascii="仿宋_GB2312" w:hAnsi="仿宋_GB2312" w:eastAsia="仿宋_GB2312" w:cs="仿宋_GB2312"/>
          <w:snapToGrid w:val="0"/>
          <w:sz w:val="28"/>
          <w:szCs w:val="28"/>
        </w:rPr>
        <w:t>可能被拒绝</w:t>
      </w:r>
      <w:r>
        <w:rPr>
          <w:rFonts w:hint="eastAsia" w:ascii="仿宋_GB2312" w:hAnsi="仿宋_GB2312" w:eastAsia="仿宋_GB2312" w:cs="仿宋_GB2312"/>
          <w:sz w:val="28"/>
          <w:szCs w:val="28"/>
        </w:rPr>
        <w:t>。</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8、竞争性磋商文件的修改和澄清</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8.1采购人在递交磋商响应文件截止时间前，以书面形式发出对竞争性磋商文件的澄清或修改的内容，均为竞争性磋商文件的有效组成部分，对双方起约束作用。采购人应将澄清或修改的内容通知所有供应商。</w:t>
      </w: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sz w:val="28"/>
          <w:szCs w:val="28"/>
        </w:rPr>
        <w:t>8.2供应商获取竞争性磋商文件后，应仔细检查竞争性磋商文件的所有内容，如有残缺等问题应及时向采购人提出，否则，由此引起的损失由供应商自己承担。供应商同时应认真审阅竞争性磋商文件中所有的事项、格式、条款和规范要求等，若供应商的磋商响应文件没有对竞争性磋商文件做出实质性响应，其风险由供应商自行承担，该响应有可能被拒绝。</w:t>
      </w:r>
    </w:p>
    <w:p>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（三）磋商响应文件编写</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9、磋商响应文件的编制</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9.1供应商应认真阅读、充分理解本竞争性磋商文件的全部内容（包括所有的补充、修改内容），承认履行本竞争性磋商文件中各项条款规定及要求。</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9.2磋商响应文件应按本竞争性磋商文件的全部内容，包括所有的补充通知及附件进行编制。</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9.3若供应商只填写和提供本竞争性磋商文件要求的部分内容和附件，给评审造成困难，责任由供应商承担。</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10、磋商响应文件组成</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10.1磋商响应文件包括</w:t>
      </w:r>
      <w:r>
        <w:rPr>
          <w:rFonts w:hint="eastAsia" w:ascii="仿宋_GB2312" w:hAnsi="仿宋_GB2312" w:eastAsia="仿宋_GB2312" w:cs="仿宋_GB2312"/>
          <w:b/>
          <w:bCs/>
          <w:sz w:val="28"/>
          <w:szCs w:val="28"/>
          <w:u w:val="single"/>
        </w:rPr>
        <w:t>报价文件</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u w:val="single"/>
        </w:rPr>
        <w:t>商务文件</w:t>
      </w:r>
      <w:r>
        <w:rPr>
          <w:rFonts w:hint="eastAsia" w:ascii="仿宋_GB2312" w:hAnsi="仿宋_GB2312" w:eastAsia="仿宋_GB2312" w:cs="仿宋_GB2312"/>
          <w:sz w:val="28"/>
          <w:szCs w:val="28"/>
        </w:rPr>
        <w:t>两部分：</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10.1.1</w:t>
      </w:r>
      <w:r>
        <w:rPr>
          <w:rFonts w:hint="eastAsia" w:ascii="仿宋_GB2312" w:hAnsi="仿宋_GB2312" w:eastAsia="仿宋_GB2312" w:cs="仿宋_GB2312"/>
          <w:b/>
          <w:bCs/>
          <w:sz w:val="28"/>
          <w:szCs w:val="28"/>
        </w:rPr>
        <w:t>报价文件</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总报价（附件1）</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10.1.2</w:t>
      </w:r>
      <w:r>
        <w:rPr>
          <w:rFonts w:hint="eastAsia" w:ascii="仿宋_GB2312" w:hAnsi="仿宋_GB2312" w:eastAsia="仿宋_GB2312" w:cs="仿宋_GB2312"/>
          <w:b/>
          <w:bCs/>
          <w:sz w:val="28"/>
          <w:szCs w:val="28"/>
        </w:rPr>
        <w:t>商务文件</w:t>
      </w:r>
    </w:p>
    <w:p>
      <w:pPr>
        <w:numPr>
          <w:ilvl w:val="0"/>
          <w:numId w:val="6"/>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磋商响应函（附件2）</w:t>
      </w:r>
    </w:p>
    <w:p>
      <w:pPr>
        <w:numPr>
          <w:ilvl w:val="0"/>
          <w:numId w:val="6"/>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授权委托书（附件3）</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身份证复印件（附件4）</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关于资格文件的声明函（附件5）</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退保证金声明函（附件6）</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资格证明文件（附件</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相关资料文件（附件</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承诺书函（附件</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服务管理流程（附件</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p>
    <w:p>
      <w:pPr>
        <w:numPr>
          <w:ilvl w:val="0"/>
          <w:numId w:val="5"/>
        </w:num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商务条款偏离表（附件1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sz w:val="28"/>
          <w:szCs w:val="28"/>
        </w:rPr>
        <w:t>（12）综合评审要点材料（附件1</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p>
    <w:p>
      <w:pPr>
        <w:numPr>
          <w:ilvl w:val="0"/>
          <w:numId w:val="7"/>
        </w:num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报价</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sz w:val="28"/>
          <w:szCs w:val="28"/>
        </w:rPr>
        <w:t>11.1本次竞争性磋商采购的报价是指本竞争性磋商采购文件中以报价文件形式进行的首次报价以及在</w:t>
      </w:r>
      <w:r>
        <w:rPr>
          <w:rFonts w:hint="eastAsia" w:ascii="仿宋_GB2312" w:hAnsi="仿宋_GB2312" w:eastAsia="仿宋_GB2312" w:cs="仿宋_GB2312"/>
          <w:b/>
          <w:bCs/>
          <w:sz w:val="28"/>
          <w:szCs w:val="28"/>
        </w:rPr>
        <w:t>竞争性磋商后的最终报价</w:t>
      </w:r>
      <w:r>
        <w:rPr>
          <w:rFonts w:hint="eastAsia" w:ascii="仿宋_GB2312" w:hAnsi="仿宋_GB2312" w:eastAsia="仿宋_GB2312" w:cs="仿宋_GB2312"/>
          <w:sz w:val="28"/>
          <w:szCs w:val="28"/>
        </w:rPr>
        <w:t>。</w:t>
      </w:r>
    </w:p>
    <w:p>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sz w:val="28"/>
          <w:szCs w:val="28"/>
        </w:rPr>
        <w:t>11.2</w:t>
      </w:r>
      <w:r>
        <w:rPr>
          <w:rFonts w:hint="eastAsia" w:ascii="仿宋_GB2312" w:hAnsi="仿宋_GB2312" w:eastAsia="仿宋_GB2312" w:cs="仿宋_GB2312"/>
          <w:bCs/>
          <w:sz w:val="28"/>
          <w:szCs w:val="28"/>
        </w:rPr>
        <w:t>本报价为人民币，报价应为包含增值税额的含税价。供应商必须开具真实有效的增值税专用发票。</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11.3供应商应按服务总价的报价方式填写报价。本次服务只允许有一个报价，任何有可供选择的报价，采购人将不予接受。</w:t>
      </w:r>
    </w:p>
    <w:p>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sz w:val="28"/>
          <w:szCs w:val="28"/>
        </w:rPr>
        <w:t>11.4</w:t>
      </w:r>
      <w:r>
        <w:rPr>
          <w:rFonts w:hint="eastAsia" w:ascii="仿宋_GB2312" w:hAnsi="仿宋_GB2312" w:eastAsia="仿宋_GB2312" w:cs="仿宋_GB2312"/>
          <w:bCs/>
          <w:sz w:val="28"/>
          <w:szCs w:val="28"/>
        </w:rPr>
        <w:t>报价须包含本项目实施的所有费用，包括但不限于专业服务费用、差旅费用、各项税费、其他费用等。</w:t>
      </w:r>
    </w:p>
    <w:p>
      <w:pPr>
        <w:spacing w:line="360" w:lineRule="auto"/>
        <w:rPr>
          <w:rFonts w:ascii="仿宋_GB2312" w:hAnsi="仿宋_GB2312" w:eastAsia="仿宋_GB2312" w:cs="仿宋_GB2312"/>
          <w:sz w:val="28"/>
          <w:szCs w:val="28"/>
          <w:lang w:val="zh-CN"/>
        </w:rPr>
      </w:pPr>
      <w:r>
        <w:rPr>
          <w:rFonts w:hint="eastAsia" w:ascii="仿宋_GB2312" w:hAnsi="仿宋_GB2312" w:eastAsia="仿宋_GB2312" w:cs="仿宋_GB2312"/>
          <w:sz w:val="28"/>
          <w:szCs w:val="28"/>
        </w:rPr>
        <w:t>11.5</w:t>
      </w:r>
      <w:r>
        <w:rPr>
          <w:rFonts w:hint="eastAsia" w:ascii="仿宋_GB2312" w:hAnsi="仿宋_GB2312" w:eastAsia="仿宋_GB2312" w:cs="仿宋_GB2312"/>
          <w:sz w:val="28"/>
          <w:szCs w:val="28"/>
          <w:lang w:val="zh-CN"/>
        </w:rPr>
        <w:t>供应商应认真阅读本竞争性磋商文件后作出合理的报价，且应充分考虑项目进行期间该服务市场价格变化等其他因素，确定风险系数计入报价，采购人不再另外支付其他任何费用。</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11.6供应商提供的产品功能和项目服务必须覆盖且不限于采购人提供的需求文档和服务要求。</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12、磋商有效期</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12.1从提交磋商响应文件的截止之日起，磋商有效期为60天，在此期限内，凡符合本竞争性磋商文件要求的磋商响应文件均保持有效。</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12.2在特殊情况下，采购人在原定磋商有效期内，可以根据需要以书面形式向供应商提出延长磋商有效期的要求，对此要求供应商须以书面形式予以答复。同意延长磋商有效期的供应商既不能要求也不允许修改其磋商响应文件，但需要相应的延长磋商担保的有效期。</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13、磋商响应文件的签署</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13.1磋商响应文件均需打印或使用不褪色的蓝、黑墨水笔书写，字迹应清晰易于辨认。</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13.2为保证磋商响应文件的有效性</w:t>
      </w:r>
      <w:r>
        <w:rPr>
          <w:rFonts w:hint="eastAsia" w:ascii="仿宋_GB2312" w:hAnsi="仿宋_GB2312" w:eastAsia="仿宋_GB2312" w:cs="仿宋_GB2312"/>
          <w:sz w:val="28"/>
          <w:szCs w:val="28"/>
          <w:u w:val="single"/>
        </w:rPr>
        <w:t>，磋商响应文件均应加盖供应商印章，在需要法定代表人或其授权代理人签章的地方签字或盖章等。</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13.3除供应商对错误处须修改外，全套磋商响应文件应无涂改或行间插字和增删，如有修改，修改处应由供应商加盖公章或由授权代理人签字或盖章。</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13.4供应商有权在递交磋商响应文件截止时间前以书面形式通知采购人，修改或撤回已递交的磋商响应文件。有关修改或撤回的书面文件必须由签署原磋商响应文件的签字人签字并加盖公章方为有效。</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13.5供应商修改后的磋商响应文件或相关通知书应按本竞争性磋商文件规定进行编制、密封、标记和递交。</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13.6供应商撤回已提交的磋商响应文件，应当在递交磋商响应文件截止时间前书面通知采购人。在递交响应文件截止时间后供应商撤回其磋商响应文件的，采购人将不予退还其磋商保证金。</w:t>
      </w:r>
    </w:p>
    <w:p>
      <w:pPr>
        <w:spacing w:line="360" w:lineRule="auto"/>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（四）磋商响应文件递交</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14、磋商响应文件的递交</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14.1供应商应将</w:t>
      </w:r>
      <w:r>
        <w:rPr>
          <w:rFonts w:hint="eastAsia" w:ascii="仿宋_GB2312" w:hAnsi="仿宋_GB2312" w:eastAsia="仿宋_GB2312" w:cs="仿宋_GB2312"/>
          <w:b/>
          <w:bCs/>
          <w:sz w:val="28"/>
          <w:szCs w:val="28"/>
        </w:rPr>
        <w:t>磋商响应文件（报价文件、</w:t>
      </w:r>
      <w:r>
        <w:rPr>
          <w:rFonts w:hint="eastAsia" w:ascii="仿宋_GB2312" w:hAnsi="仿宋_GB2312" w:eastAsia="仿宋_GB2312" w:cs="仿宋_GB2312"/>
          <w:b/>
          <w:bCs/>
          <w:sz w:val="28"/>
          <w:szCs w:val="28"/>
          <w:lang w:val="zh-CN"/>
        </w:rPr>
        <w:t>商务文件）装订成册，</w:t>
      </w:r>
      <w:r>
        <w:rPr>
          <w:rFonts w:hint="eastAsia" w:ascii="仿宋_GB2312" w:hAnsi="仿宋_GB2312" w:eastAsia="仿宋_GB2312" w:cs="仿宋_GB2312"/>
          <w:sz w:val="28"/>
          <w:szCs w:val="28"/>
        </w:rPr>
        <w:t>用信封或文件袋密封包装于一件包装袋内，并在包装袋上标明项目编号、项目名称、供应商名称。</w:t>
      </w:r>
      <w:r>
        <w:rPr>
          <w:rFonts w:hint="eastAsia" w:ascii="仿宋_GB2312" w:hAnsi="仿宋_GB2312" w:eastAsia="仿宋_GB2312" w:cs="仿宋_GB2312"/>
          <w:sz w:val="28"/>
          <w:szCs w:val="28"/>
          <w:lang w:val="zh-CN"/>
        </w:rPr>
        <w:t>在封签处标注</w:t>
      </w:r>
      <w:r>
        <w:rPr>
          <w:rFonts w:hint="eastAsia" w:ascii="仿宋_GB2312" w:hAnsi="仿宋_GB2312" w:eastAsia="仿宋_GB2312" w:cs="仿宋_GB2312"/>
          <w:sz w:val="28"/>
          <w:szCs w:val="28"/>
          <w:highlight w:val="none"/>
          <w:lang w:val="zh-CN"/>
        </w:rPr>
        <w:t>“请勿在</w:t>
      </w:r>
      <w:r>
        <w:rPr>
          <w:rFonts w:hint="eastAsia" w:ascii="仿宋_GB2312" w:hAnsi="仿宋_GB2312" w:eastAsia="仿宋_GB2312" w:cs="仿宋_GB2312"/>
          <w:sz w:val="28"/>
          <w:szCs w:val="28"/>
          <w:highlight w:val="none"/>
        </w:rPr>
        <w:t>2020</w:t>
      </w:r>
      <w:r>
        <w:rPr>
          <w:rFonts w:hint="eastAsia" w:ascii="仿宋_GB2312" w:hAnsi="仿宋_GB2312" w:eastAsia="仿宋_GB2312" w:cs="仿宋_GB2312"/>
          <w:sz w:val="28"/>
          <w:szCs w:val="28"/>
          <w:highlight w:val="none"/>
          <w:lang w:val="zh-CN"/>
        </w:rPr>
        <w:t>年</w:t>
      </w:r>
      <w:r>
        <w:rPr>
          <w:rFonts w:hint="eastAsia" w:ascii="仿宋_GB2312" w:hAnsi="仿宋_GB2312" w:eastAsia="仿宋_GB2312" w:cs="仿宋_GB2312"/>
          <w:sz w:val="28"/>
          <w:szCs w:val="28"/>
          <w:highlight w:val="none"/>
          <w:u w:val="single"/>
        </w:rPr>
        <w:t>10月1</w:t>
      </w:r>
      <w:r>
        <w:rPr>
          <w:rFonts w:hint="eastAsia" w:ascii="仿宋_GB2312" w:hAnsi="仿宋_GB2312" w:eastAsia="仿宋_GB2312" w:cs="仿宋_GB2312"/>
          <w:sz w:val="28"/>
          <w:szCs w:val="28"/>
          <w:highlight w:val="none"/>
          <w:u w:val="single"/>
          <w:lang w:val="en-US" w:eastAsia="zh-CN"/>
        </w:rPr>
        <w:t>5</w:t>
      </w:r>
      <w:r>
        <w:rPr>
          <w:rFonts w:hint="eastAsia" w:ascii="仿宋_GB2312" w:hAnsi="仿宋_GB2312" w:eastAsia="仿宋_GB2312" w:cs="仿宋_GB2312"/>
          <w:sz w:val="28"/>
          <w:szCs w:val="28"/>
          <w:highlight w:val="none"/>
          <w:u w:val="single"/>
        </w:rPr>
        <w:t>日</w:t>
      </w:r>
      <w:r>
        <w:rPr>
          <w:rFonts w:hint="eastAsia" w:ascii="仿宋_GB2312" w:hAnsi="仿宋_GB2312" w:eastAsia="仿宋_GB2312" w:cs="仿宋_GB2312"/>
          <w:sz w:val="28"/>
          <w:szCs w:val="28"/>
          <w:highlight w:val="none"/>
          <w:u w:val="single"/>
          <w:lang w:eastAsia="zh-CN"/>
        </w:rPr>
        <w:t>下</w:t>
      </w:r>
      <w:r>
        <w:rPr>
          <w:rFonts w:hint="eastAsia" w:ascii="仿宋_GB2312" w:hAnsi="仿宋_GB2312" w:eastAsia="仿宋_GB2312" w:cs="仿宋_GB2312"/>
          <w:sz w:val="28"/>
          <w:szCs w:val="28"/>
          <w:highlight w:val="none"/>
          <w:u w:val="single"/>
        </w:rPr>
        <w:t>午</w:t>
      </w:r>
      <w:r>
        <w:rPr>
          <w:rFonts w:hint="eastAsia" w:ascii="仿宋_GB2312" w:hAnsi="仿宋_GB2312" w:eastAsia="仿宋_GB2312" w:cs="仿宋_GB2312"/>
          <w:sz w:val="28"/>
          <w:szCs w:val="28"/>
          <w:highlight w:val="none"/>
          <w:u w:val="single"/>
          <w:lang w:val="en-US" w:eastAsia="zh-CN"/>
        </w:rPr>
        <w:t>13</w:t>
      </w:r>
      <w:r>
        <w:rPr>
          <w:rFonts w:hint="eastAsia" w:ascii="仿宋_GB2312" w:hAnsi="仿宋_GB2312" w:eastAsia="仿宋_GB2312" w:cs="仿宋_GB2312"/>
          <w:sz w:val="28"/>
          <w:szCs w:val="28"/>
          <w:highlight w:val="none"/>
          <w:u w:val="single"/>
        </w:rPr>
        <w:t>：50</w:t>
      </w:r>
      <w:r>
        <w:rPr>
          <w:rFonts w:hint="eastAsia" w:ascii="仿宋_GB2312" w:hAnsi="仿宋_GB2312" w:eastAsia="仿宋_GB2312" w:cs="仿宋_GB2312"/>
          <w:sz w:val="28"/>
          <w:szCs w:val="28"/>
          <w:highlight w:val="none"/>
          <w:lang w:val="zh-CN"/>
        </w:rPr>
        <w:t>前启封”字样，并</w:t>
      </w:r>
      <w:r>
        <w:rPr>
          <w:rFonts w:hint="eastAsia" w:ascii="仿宋_GB2312" w:hAnsi="仿宋_GB2312" w:eastAsia="仿宋_GB2312" w:cs="仿宋_GB2312"/>
          <w:sz w:val="28"/>
          <w:szCs w:val="28"/>
          <w:lang w:val="zh-CN"/>
        </w:rPr>
        <w:t>加</w:t>
      </w:r>
      <w:r>
        <w:rPr>
          <w:rFonts w:hint="eastAsia" w:ascii="仿宋_GB2312" w:hAnsi="仿宋_GB2312" w:eastAsia="仿宋_GB2312" w:cs="仿宋_GB2312"/>
          <w:b/>
          <w:bCs/>
          <w:sz w:val="28"/>
          <w:szCs w:val="28"/>
          <w:lang w:val="zh-CN"/>
        </w:rPr>
        <w:t>盖供应商公章</w:t>
      </w:r>
      <w:r>
        <w:rPr>
          <w:rFonts w:hint="eastAsia" w:ascii="仿宋_GB2312" w:hAnsi="仿宋_GB2312" w:eastAsia="仿宋_GB2312" w:cs="仿宋_GB2312"/>
          <w:sz w:val="28"/>
          <w:szCs w:val="28"/>
          <w:lang w:val="zh-CN"/>
        </w:rPr>
        <w:t>，未密封或无公章的，采购人不予受理。</w:t>
      </w:r>
      <w:r>
        <w:rPr>
          <w:rFonts w:hint="eastAsia" w:ascii="仿宋_GB2312" w:hAnsi="仿宋_GB2312" w:eastAsia="仿宋_GB2312" w:cs="仿宋_GB2312"/>
          <w:b/>
          <w:bCs/>
          <w:sz w:val="28"/>
          <w:szCs w:val="28"/>
          <w:lang w:val="zh-CN"/>
        </w:rPr>
        <w:t>磋商响应文件</w:t>
      </w:r>
      <w:r>
        <w:rPr>
          <w:rFonts w:hint="eastAsia" w:ascii="仿宋_GB2312" w:hAnsi="仿宋_GB2312" w:eastAsia="仿宋_GB2312" w:cs="仿宋_GB2312"/>
          <w:sz w:val="28"/>
          <w:szCs w:val="28"/>
        </w:rPr>
        <w:t>应分别提交</w:t>
      </w:r>
      <w:r>
        <w:rPr>
          <w:rFonts w:hint="eastAsia" w:ascii="仿宋_GB2312" w:hAnsi="仿宋_GB2312" w:eastAsia="仿宋_GB2312" w:cs="仿宋_GB2312"/>
          <w:b/>
          <w:bCs/>
          <w:sz w:val="28"/>
          <w:szCs w:val="28"/>
          <w:u w:val="single"/>
        </w:rPr>
        <w:t>一套</w:t>
      </w:r>
      <w:r>
        <w:rPr>
          <w:rFonts w:hint="eastAsia" w:ascii="仿宋_GB2312" w:hAnsi="仿宋_GB2312" w:eastAsia="仿宋_GB2312" w:cs="仿宋_GB2312"/>
          <w:sz w:val="28"/>
          <w:szCs w:val="28"/>
          <w:u w:val="single"/>
        </w:rPr>
        <w:t>“</w:t>
      </w:r>
      <w:r>
        <w:rPr>
          <w:rFonts w:hint="eastAsia" w:ascii="仿宋_GB2312" w:hAnsi="仿宋_GB2312" w:eastAsia="仿宋_GB2312" w:cs="仿宋_GB2312"/>
          <w:sz w:val="28"/>
          <w:szCs w:val="28"/>
        </w:rPr>
        <w:t>正本”和</w:t>
      </w:r>
      <w:r>
        <w:rPr>
          <w:rFonts w:hint="eastAsia" w:ascii="仿宋_GB2312" w:hAnsi="仿宋_GB2312" w:eastAsia="仿宋_GB2312" w:cs="仿宋_GB2312"/>
          <w:b/>
          <w:bCs/>
          <w:sz w:val="28"/>
          <w:szCs w:val="28"/>
          <w:u w:val="single"/>
        </w:rPr>
        <w:t>叁套</w:t>
      </w:r>
      <w:r>
        <w:rPr>
          <w:rFonts w:hint="eastAsia" w:ascii="仿宋_GB2312" w:hAnsi="仿宋_GB2312" w:eastAsia="仿宋_GB2312" w:cs="仿宋_GB2312"/>
          <w:sz w:val="28"/>
          <w:szCs w:val="28"/>
          <w:u w:val="single"/>
        </w:rPr>
        <w:t>“</w:t>
      </w:r>
      <w:r>
        <w:rPr>
          <w:rFonts w:hint="eastAsia" w:ascii="仿宋_GB2312" w:hAnsi="仿宋_GB2312" w:eastAsia="仿宋_GB2312" w:cs="仿宋_GB2312"/>
          <w:sz w:val="28"/>
          <w:szCs w:val="28"/>
        </w:rPr>
        <w:t>副本”，每套文件封面右上角注明“正本”或“副本”。正本内容与副本内容不一致时，以正本为准。</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14.2采购人对误投或过早启封概不负责。对由此造成提前开封的磋商响应文件，张家港农村商业银行将予以拒绝并退回供应商。</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14.3电报、电话、传真、邮件等形式的响应文件、书面文件等概不接受。</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14.4磋商结束后磋商响应文件由采购人留存。不论供应商成交与否，磋商响应文件均不退回。</w:t>
      </w:r>
    </w:p>
    <w:p>
      <w:pPr>
        <w:spacing w:line="360" w:lineRule="auto"/>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（五）磋商及评审说明</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15、磋商</w:t>
      </w:r>
    </w:p>
    <w:p>
      <w:pPr>
        <w:spacing w:line="360" w:lineRule="auto"/>
        <w:rPr>
          <w:rFonts w:ascii="仿宋_GB2312" w:hAnsi="仿宋_GB2312" w:eastAsia="仿宋_GB2312" w:cs="仿宋_GB2312"/>
          <w:snapToGrid w:val="0"/>
          <w:sz w:val="28"/>
          <w:szCs w:val="28"/>
          <w:highlight w:val="none"/>
        </w:rPr>
      </w:pPr>
      <w:r>
        <w:rPr>
          <w:rFonts w:hint="eastAsia" w:ascii="仿宋_GB2312" w:hAnsi="仿宋_GB2312" w:eastAsia="仿宋_GB2312" w:cs="仿宋_GB2312"/>
          <w:snapToGrid w:val="0"/>
          <w:sz w:val="28"/>
          <w:szCs w:val="28"/>
        </w:rPr>
        <w:t>15.1竞争性磋商时间为</w:t>
      </w:r>
      <w:r>
        <w:rPr>
          <w:rFonts w:hint="eastAsia" w:ascii="仿宋_GB2312" w:hAnsi="仿宋_GB2312" w:eastAsia="仿宋_GB2312" w:cs="仿宋_GB2312"/>
          <w:sz w:val="28"/>
          <w:szCs w:val="28"/>
          <w:highlight w:val="none"/>
          <w:u w:val="single"/>
        </w:rPr>
        <w:t>2020</w:t>
      </w:r>
      <w:r>
        <w:rPr>
          <w:rFonts w:hint="eastAsia" w:ascii="仿宋_GB2312" w:hAnsi="仿宋_GB2312" w:eastAsia="仿宋_GB2312" w:cs="仿宋_GB2312"/>
          <w:sz w:val="28"/>
          <w:szCs w:val="28"/>
          <w:highlight w:val="none"/>
          <w:u w:val="single"/>
          <w:lang w:val="zh-CN"/>
        </w:rPr>
        <w:t>年</w:t>
      </w:r>
      <w:r>
        <w:rPr>
          <w:rFonts w:hint="eastAsia" w:ascii="仿宋_GB2312" w:hAnsi="仿宋_GB2312" w:eastAsia="仿宋_GB2312" w:cs="仿宋_GB2312"/>
          <w:sz w:val="28"/>
          <w:szCs w:val="28"/>
          <w:highlight w:val="none"/>
          <w:u w:val="single"/>
        </w:rPr>
        <w:t>10月1</w:t>
      </w:r>
      <w:r>
        <w:rPr>
          <w:rFonts w:hint="eastAsia" w:ascii="仿宋_GB2312" w:hAnsi="仿宋_GB2312" w:eastAsia="仿宋_GB2312" w:cs="仿宋_GB2312"/>
          <w:sz w:val="28"/>
          <w:szCs w:val="28"/>
          <w:highlight w:val="none"/>
          <w:u w:val="single"/>
          <w:lang w:val="en-US" w:eastAsia="zh-CN"/>
        </w:rPr>
        <w:t>5</w:t>
      </w:r>
      <w:r>
        <w:rPr>
          <w:rFonts w:hint="eastAsia" w:ascii="仿宋_GB2312" w:hAnsi="仿宋_GB2312" w:eastAsia="仿宋_GB2312" w:cs="仿宋_GB2312"/>
          <w:sz w:val="28"/>
          <w:szCs w:val="28"/>
          <w:highlight w:val="none"/>
          <w:u w:val="single"/>
        </w:rPr>
        <w:t>日</w:t>
      </w:r>
      <w:r>
        <w:rPr>
          <w:rFonts w:hint="eastAsia" w:ascii="仿宋_GB2312" w:hAnsi="仿宋_GB2312" w:eastAsia="仿宋_GB2312" w:cs="仿宋_GB2312"/>
          <w:sz w:val="28"/>
          <w:szCs w:val="28"/>
          <w:highlight w:val="none"/>
          <w:u w:val="single"/>
          <w:lang w:eastAsia="zh-CN"/>
        </w:rPr>
        <w:t>下</w:t>
      </w:r>
      <w:r>
        <w:rPr>
          <w:rFonts w:hint="eastAsia" w:ascii="仿宋_GB2312" w:hAnsi="仿宋_GB2312" w:eastAsia="仿宋_GB2312" w:cs="仿宋_GB2312"/>
          <w:sz w:val="28"/>
          <w:szCs w:val="28"/>
          <w:highlight w:val="none"/>
          <w:u w:val="single"/>
        </w:rPr>
        <w:t>午</w:t>
      </w:r>
      <w:r>
        <w:rPr>
          <w:rFonts w:hint="eastAsia" w:ascii="仿宋_GB2312" w:hAnsi="仿宋_GB2312" w:eastAsia="仿宋_GB2312" w:cs="仿宋_GB2312"/>
          <w:sz w:val="28"/>
          <w:szCs w:val="28"/>
          <w:highlight w:val="none"/>
          <w:u w:val="single"/>
          <w:lang w:val="en-US" w:eastAsia="zh-CN"/>
        </w:rPr>
        <w:t>13</w:t>
      </w:r>
      <w:r>
        <w:rPr>
          <w:rFonts w:hint="eastAsia" w:ascii="仿宋_GB2312" w:hAnsi="仿宋_GB2312" w:eastAsia="仿宋_GB2312" w:cs="仿宋_GB2312"/>
          <w:sz w:val="28"/>
          <w:szCs w:val="28"/>
          <w:highlight w:val="none"/>
          <w:u w:val="single"/>
        </w:rPr>
        <w:t>：50</w:t>
      </w:r>
      <w:r>
        <w:rPr>
          <w:rFonts w:hint="eastAsia" w:ascii="仿宋_GB2312" w:hAnsi="仿宋_GB2312" w:eastAsia="仿宋_GB2312" w:cs="仿宋_GB2312"/>
          <w:snapToGrid w:val="0"/>
          <w:sz w:val="28"/>
          <w:szCs w:val="28"/>
          <w:highlight w:val="none"/>
        </w:rPr>
        <w:t>。</w:t>
      </w:r>
    </w:p>
    <w:p>
      <w:pPr>
        <w:pStyle w:val="2"/>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15.2竞争性磋商前，由供应商现场抽签，采购人按供应商抽签顺序分别与供应商进行单独磋商。</w:t>
      </w:r>
    </w:p>
    <w:p>
      <w:pPr>
        <w:pStyle w:val="2"/>
        <w:rPr>
          <w:rFonts w:ascii="仿宋_GB2312" w:hAnsi="仿宋_GB2312" w:eastAsia="仿宋_GB2312" w:cs="仿宋_GB2312"/>
        </w:rPr>
      </w:pPr>
      <w:r>
        <w:rPr>
          <w:rFonts w:hint="eastAsia" w:ascii="仿宋_GB2312" w:hAnsi="仿宋_GB2312" w:eastAsia="仿宋_GB2312" w:cs="仿宋_GB2312"/>
          <w:snapToGrid w:val="0"/>
          <w:sz w:val="28"/>
          <w:szCs w:val="28"/>
        </w:rPr>
        <w:t>15.3竞争性磋商后，供应商应在规定时间内</w:t>
      </w:r>
      <w:r>
        <w:rPr>
          <w:rFonts w:hint="eastAsia" w:ascii="仿宋_GB2312" w:hAnsi="仿宋_GB2312" w:eastAsia="仿宋_GB2312" w:cs="仿宋_GB2312"/>
          <w:b/>
          <w:bCs/>
          <w:snapToGrid w:val="0"/>
          <w:sz w:val="28"/>
          <w:szCs w:val="28"/>
        </w:rPr>
        <w:t>提交最终报价</w:t>
      </w:r>
      <w:r>
        <w:rPr>
          <w:rFonts w:hint="eastAsia" w:ascii="仿宋_GB2312" w:hAnsi="仿宋_GB2312" w:eastAsia="仿宋_GB2312" w:cs="仿宋_GB2312"/>
          <w:snapToGrid w:val="0"/>
          <w:sz w:val="28"/>
          <w:szCs w:val="28"/>
        </w:rPr>
        <w:t>及相应承诺。</w:t>
      </w:r>
    </w:p>
    <w:p>
      <w:pPr>
        <w:spacing w:line="360" w:lineRule="auto"/>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15.4按照规定同意撤回的磋商响应文件将不予开封。</w:t>
      </w:r>
    </w:p>
    <w:p>
      <w:pPr>
        <w:spacing w:line="360" w:lineRule="auto"/>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15.5采购人将对供应商的商业、技术秘密予以保密。</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16、评审</w:t>
      </w:r>
    </w:p>
    <w:p>
      <w:pPr>
        <w:widowControl/>
        <w:spacing w:line="360" w:lineRule="atLeast"/>
        <w:jc w:val="left"/>
        <w:rPr>
          <w:rFonts w:hint="eastAsia" w:ascii="仿宋_GB2312" w:hAnsi="仿宋_GB2312" w:eastAsia="仿宋_GB2312" w:cs="仿宋_GB2312"/>
          <w:b/>
          <w:bCs/>
          <w:snapToGrid w:val="0"/>
          <w:sz w:val="28"/>
          <w:szCs w:val="28"/>
        </w:rPr>
      </w:pPr>
      <w:r>
        <w:rPr>
          <w:rFonts w:hint="eastAsia" w:ascii="仿宋_GB2312" w:hAnsi="仿宋_GB2312" w:eastAsia="仿宋_GB2312" w:cs="仿宋_GB2312"/>
          <w:snapToGrid w:val="0"/>
          <w:sz w:val="28"/>
          <w:szCs w:val="28"/>
        </w:rPr>
        <w:t>16.1</w:t>
      </w:r>
      <w:r>
        <w:rPr>
          <w:rFonts w:hint="eastAsia" w:ascii="仿宋_GB2312" w:hAnsi="宋体" w:eastAsia="仿宋_GB2312"/>
          <w:b/>
          <w:bCs/>
          <w:snapToGrid w:val="0"/>
          <w:sz w:val="28"/>
          <w:szCs w:val="28"/>
        </w:rPr>
        <w:t>初步评审：</w:t>
      </w:r>
      <w:r>
        <w:rPr>
          <w:rFonts w:hint="eastAsia" w:ascii="仿宋_GB2312" w:hAnsi="宋体" w:eastAsia="仿宋_GB2312"/>
          <w:snapToGrid w:val="0"/>
          <w:sz w:val="28"/>
          <w:szCs w:val="28"/>
        </w:rPr>
        <w:t>采购人磋商小组评审人员将按照磋商文件的规定和要求对供应商进行资格性和符合性审查（评审内容见下表）：</w:t>
      </w:r>
    </w:p>
    <w:tbl>
      <w:tblPr>
        <w:tblStyle w:val="21"/>
        <w:tblW w:w="10000" w:type="dxa"/>
        <w:jc w:val="center"/>
        <w:tblInd w:w="0" w:type="dxa"/>
        <w:tblLayout w:type="fixed"/>
        <w:tblCellMar>
          <w:top w:w="0" w:type="dxa"/>
          <w:left w:w="10" w:type="dxa"/>
          <w:bottom w:w="0" w:type="dxa"/>
          <w:right w:w="10" w:type="dxa"/>
        </w:tblCellMar>
      </w:tblPr>
      <w:tblGrid>
        <w:gridCol w:w="4936"/>
        <w:gridCol w:w="1709"/>
        <w:gridCol w:w="3355"/>
      </w:tblGrid>
      <w:tr>
        <w:tblPrEx>
          <w:tblLayout w:type="fixed"/>
          <w:tblCellMar>
            <w:top w:w="0" w:type="dxa"/>
            <w:left w:w="10" w:type="dxa"/>
            <w:bottom w:w="0" w:type="dxa"/>
            <w:right w:w="10" w:type="dxa"/>
          </w:tblCellMar>
        </w:tblPrEx>
        <w:trPr>
          <w:trHeight w:val="998" w:hRule="atLeast"/>
          <w:jc w:val="center"/>
        </w:trPr>
        <w:tc>
          <w:tcPr>
            <w:tcW w:w="4936" w:type="dxa"/>
            <w:tcBorders>
              <w:top w:val="single" w:color="000000" w:sz="4" w:space="0"/>
              <w:left w:val="single" w:color="000000" w:sz="4" w:space="0"/>
              <w:bottom w:val="single" w:color="000000" w:sz="4" w:space="0"/>
              <w:right w:val="single" w:color="000000" w:sz="4" w:space="0"/>
            </w:tcBorders>
            <w:shd w:val="clear" w:color="auto" w:fill="D7D7D7"/>
            <w:tcMar>
              <w:top w:w="0" w:type="dxa"/>
              <w:left w:w="108" w:type="dxa"/>
              <w:bottom w:w="0" w:type="dxa"/>
              <w:right w:w="108" w:type="dxa"/>
            </w:tcMar>
            <w:vAlign w:val="center"/>
          </w:tcPr>
          <w:p>
            <w:pPr>
              <w:tabs>
                <w:tab w:val="left" w:pos="8930"/>
                <w:tab w:val="left" w:pos="9306"/>
              </w:tabs>
              <w:spacing w:line="480" w:lineRule="exact"/>
              <w:jc w:val="center"/>
              <w:rPr>
                <w:b/>
                <w:bCs/>
                <w:sz w:val="28"/>
                <w:szCs w:val="28"/>
              </w:rPr>
            </w:pPr>
            <w:r>
              <w:rPr>
                <w:b/>
                <w:bCs/>
                <w:sz w:val="28"/>
                <w:szCs w:val="28"/>
              </w:rPr>
              <w:t>评审内容</w:t>
            </w:r>
          </w:p>
        </w:tc>
        <w:tc>
          <w:tcPr>
            <w:tcW w:w="1709" w:type="dxa"/>
            <w:tcBorders>
              <w:top w:val="single" w:color="000000" w:sz="4" w:space="0"/>
              <w:left w:val="single" w:color="000000" w:sz="4" w:space="0"/>
              <w:bottom w:val="single" w:color="000000" w:sz="4" w:space="0"/>
              <w:right w:val="single" w:color="000000" w:sz="4" w:space="0"/>
            </w:tcBorders>
            <w:shd w:val="clear" w:color="auto" w:fill="D7D7D7"/>
            <w:tcMar>
              <w:top w:w="0" w:type="dxa"/>
              <w:left w:w="108" w:type="dxa"/>
              <w:bottom w:w="0" w:type="dxa"/>
              <w:right w:w="108" w:type="dxa"/>
            </w:tcMar>
            <w:vAlign w:val="center"/>
          </w:tcPr>
          <w:p>
            <w:pPr>
              <w:tabs>
                <w:tab w:val="left" w:pos="8930"/>
                <w:tab w:val="left" w:pos="9306"/>
              </w:tabs>
              <w:spacing w:line="480" w:lineRule="exact"/>
              <w:jc w:val="center"/>
              <w:rPr>
                <w:b/>
                <w:bCs/>
                <w:sz w:val="28"/>
                <w:szCs w:val="28"/>
              </w:rPr>
            </w:pPr>
            <w:r>
              <w:rPr>
                <w:b/>
                <w:bCs/>
                <w:sz w:val="28"/>
                <w:szCs w:val="28"/>
              </w:rPr>
              <w:t>是否合格</w:t>
            </w:r>
          </w:p>
          <w:p>
            <w:pPr>
              <w:tabs>
                <w:tab w:val="left" w:pos="8930"/>
                <w:tab w:val="left" w:pos="9306"/>
              </w:tabs>
              <w:spacing w:line="480" w:lineRule="exact"/>
              <w:jc w:val="center"/>
              <w:rPr>
                <w:b/>
                <w:bCs/>
                <w:sz w:val="28"/>
                <w:szCs w:val="28"/>
              </w:rPr>
            </w:pPr>
            <w:r>
              <w:rPr>
                <w:b/>
                <w:bCs/>
                <w:sz w:val="28"/>
                <w:szCs w:val="28"/>
              </w:rPr>
              <w:t>（是/否）</w:t>
            </w:r>
          </w:p>
        </w:tc>
        <w:tc>
          <w:tcPr>
            <w:tcW w:w="3355" w:type="dxa"/>
            <w:tcBorders>
              <w:top w:val="single" w:color="000000" w:sz="4" w:space="0"/>
              <w:left w:val="single" w:color="000000" w:sz="4" w:space="0"/>
              <w:bottom w:val="single" w:color="000000" w:sz="4" w:space="0"/>
              <w:right w:val="single" w:color="000000" w:sz="4" w:space="0"/>
            </w:tcBorders>
            <w:shd w:val="clear" w:color="auto" w:fill="D7D7D7"/>
            <w:tcMar>
              <w:top w:w="0" w:type="dxa"/>
              <w:left w:w="108" w:type="dxa"/>
              <w:bottom w:w="0" w:type="dxa"/>
              <w:right w:w="108" w:type="dxa"/>
            </w:tcMar>
            <w:vAlign w:val="center"/>
          </w:tcPr>
          <w:p>
            <w:pPr>
              <w:tabs>
                <w:tab w:val="left" w:pos="8930"/>
                <w:tab w:val="left" w:pos="9306"/>
              </w:tabs>
              <w:spacing w:line="480" w:lineRule="exact"/>
              <w:jc w:val="center"/>
              <w:rPr>
                <w:b/>
                <w:bCs/>
                <w:sz w:val="28"/>
                <w:szCs w:val="28"/>
              </w:rPr>
            </w:pPr>
            <w:r>
              <w:rPr>
                <w:rFonts w:hint="eastAsia"/>
                <w:b/>
                <w:bCs/>
                <w:sz w:val="28"/>
                <w:szCs w:val="28"/>
              </w:rPr>
              <w:t>不合格原因</w:t>
            </w:r>
          </w:p>
        </w:tc>
      </w:tr>
      <w:tr>
        <w:tblPrEx>
          <w:tblLayout w:type="fixed"/>
          <w:tblCellMar>
            <w:top w:w="0" w:type="dxa"/>
            <w:left w:w="10" w:type="dxa"/>
            <w:bottom w:w="0" w:type="dxa"/>
            <w:right w:w="10" w:type="dxa"/>
          </w:tblCellMar>
        </w:tblPrEx>
        <w:trPr>
          <w:trHeight w:val="1133" w:hRule="atLeast"/>
          <w:jc w:val="center"/>
        </w:trPr>
        <w:tc>
          <w:tcPr>
            <w:tcW w:w="49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1、供应商的资格条件（是否符合采购文件中供应商要求）</w:t>
            </w:r>
          </w:p>
        </w:tc>
        <w:tc>
          <w:tcPr>
            <w:tcW w:w="1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c>
          <w:tcPr>
            <w:tcW w:w="33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r>
      <w:tr>
        <w:tblPrEx>
          <w:tblLayout w:type="fixed"/>
          <w:tblCellMar>
            <w:top w:w="0" w:type="dxa"/>
            <w:left w:w="10" w:type="dxa"/>
            <w:bottom w:w="0" w:type="dxa"/>
            <w:right w:w="10" w:type="dxa"/>
          </w:tblCellMar>
        </w:tblPrEx>
        <w:trPr>
          <w:trHeight w:val="1240" w:hRule="atLeast"/>
          <w:jc w:val="center"/>
        </w:trPr>
        <w:tc>
          <w:tcPr>
            <w:tcW w:w="49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2、商务条款是否响应谈判文件</w:t>
            </w:r>
          </w:p>
        </w:tc>
        <w:tc>
          <w:tcPr>
            <w:tcW w:w="1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c>
          <w:tcPr>
            <w:tcW w:w="33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r>
      <w:tr>
        <w:tblPrEx>
          <w:tblLayout w:type="fixed"/>
          <w:tblCellMar>
            <w:top w:w="0" w:type="dxa"/>
            <w:left w:w="10" w:type="dxa"/>
            <w:bottom w:w="0" w:type="dxa"/>
            <w:right w:w="10" w:type="dxa"/>
          </w:tblCellMar>
        </w:tblPrEx>
        <w:trPr>
          <w:trHeight w:val="1240" w:hRule="atLeast"/>
          <w:jc w:val="center"/>
        </w:trPr>
        <w:tc>
          <w:tcPr>
            <w:tcW w:w="49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numPr>
                <w:ilvl w:val="0"/>
                <w:numId w:val="8"/>
              </w:numPr>
              <w:tabs>
                <w:tab w:val="left" w:pos="8930"/>
                <w:tab w:val="left" w:pos="9306"/>
              </w:tabs>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sz w:val="24"/>
                <w:highlight w:val="yellow"/>
                <w:lang w:val="en-US" w:eastAsia="zh-CN"/>
              </w:rPr>
              <w:t>信贷系统PMO管</w:t>
            </w:r>
            <w:r>
              <w:rPr>
                <w:rFonts w:hint="eastAsia" w:ascii="仿宋_GB2312" w:hAnsi="仿宋_GB2312" w:eastAsia="仿宋_GB2312" w:cs="仿宋_GB2312"/>
                <w:sz w:val="24"/>
                <w:lang w:val="en-US" w:eastAsia="zh-CN"/>
              </w:rPr>
              <w:t>理模式</w:t>
            </w:r>
            <w:r>
              <w:rPr>
                <w:rFonts w:hint="eastAsia" w:ascii="仿宋_GB2312" w:hAnsi="仿宋_GB2312" w:eastAsia="仿宋_GB2312" w:cs="仿宋_GB2312"/>
                <w:sz w:val="24"/>
              </w:rPr>
              <w:t>是否满足</w:t>
            </w:r>
            <w:r>
              <w:rPr>
                <w:rFonts w:hint="eastAsia" w:ascii="仿宋_GB2312" w:hAnsi="仿宋_GB2312" w:eastAsia="仿宋_GB2312" w:cs="仿宋_GB2312"/>
                <w:sz w:val="24"/>
                <w:lang w:eastAsia="zh-CN"/>
              </w:rPr>
              <w:t>项目内容</w:t>
            </w:r>
          </w:p>
        </w:tc>
        <w:tc>
          <w:tcPr>
            <w:tcW w:w="1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c>
          <w:tcPr>
            <w:tcW w:w="335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8930"/>
                <w:tab w:val="left" w:pos="9306"/>
              </w:tabs>
              <w:spacing w:line="360" w:lineRule="auto"/>
              <w:jc w:val="center"/>
              <w:rPr>
                <w:rFonts w:hint="eastAsia" w:ascii="仿宋_GB2312" w:hAnsi="仿宋_GB2312" w:eastAsia="仿宋_GB2312" w:cs="仿宋_GB2312"/>
                <w:sz w:val="24"/>
              </w:rPr>
            </w:pPr>
          </w:p>
        </w:tc>
      </w:tr>
    </w:tbl>
    <w:p>
      <w:pPr>
        <w:widowControl/>
        <w:spacing w:line="360" w:lineRule="atLeast"/>
        <w:jc w:val="left"/>
        <w:rPr>
          <w:rFonts w:hint="eastAsia" w:ascii="仿宋_GB2312" w:hAnsi="仿宋_GB2312" w:eastAsia="仿宋_GB2312" w:cs="仿宋_GB2312"/>
          <w:b/>
          <w:bCs/>
          <w:snapToGrid w:val="0"/>
          <w:sz w:val="28"/>
          <w:szCs w:val="28"/>
        </w:rPr>
      </w:pPr>
    </w:p>
    <w:p>
      <w:pPr>
        <w:widowControl/>
        <w:spacing w:line="360" w:lineRule="atLeast"/>
        <w:jc w:val="left"/>
        <w:rPr>
          <w:rFonts w:ascii="仿宋_GB2312" w:hAnsi="仿宋_GB2312" w:eastAsia="仿宋_GB2312" w:cs="仿宋_GB2312"/>
          <w:snapToGrid w:val="0"/>
          <w:sz w:val="28"/>
          <w:szCs w:val="28"/>
        </w:rPr>
      </w:pPr>
      <w:r>
        <w:rPr>
          <w:rFonts w:hint="eastAsia" w:ascii="仿宋_GB2312" w:hAnsi="仿宋_GB2312" w:eastAsia="仿宋_GB2312" w:cs="仿宋_GB2312"/>
          <w:b w:val="0"/>
          <w:bCs w:val="0"/>
          <w:snapToGrid w:val="0"/>
          <w:sz w:val="28"/>
          <w:szCs w:val="28"/>
          <w:u w:val="none"/>
          <w:lang w:val="en-US" w:eastAsia="zh-CN"/>
        </w:rPr>
        <w:t>16.2</w:t>
      </w:r>
      <w:r>
        <w:rPr>
          <w:rFonts w:hint="eastAsia" w:ascii="仿宋_GB2312" w:hAnsi="仿宋_GB2312" w:eastAsia="仿宋_GB2312" w:cs="仿宋_GB2312"/>
          <w:b/>
          <w:bCs/>
          <w:snapToGrid w:val="0"/>
          <w:sz w:val="28"/>
          <w:szCs w:val="28"/>
          <w:u w:val="none"/>
        </w:rPr>
        <w:t>综合评分法</w:t>
      </w:r>
      <w:r>
        <w:rPr>
          <w:rFonts w:hint="eastAsia" w:ascii="仿宋_GB2312" w:hAnsi="仿宋_GB2312" w:eastAsia="仿宋_GB2312" w:cs="仿宋_GB2312"/>
          <w:snapToGrid w:val="0"/>
          <w:sz w:val="28"/>
          <w:szCs w:val="28"/>
          <w:u w:val="none"/>
        </w:rPr>
        <w:t>。</w:t>
      </w:r>
      <w:r>
        <w:rPr>
          <w:rFonts w:hint="eastAsia" w:ascii="仿宋_GB2312" w:hAnsi="仿宋_GB2312" w:eastAsia="仿宋_GB2312" w:cs="仿宋_GB2312"/>
          <w:snapToGrid w:val="0"/>
          <w:sz w:val="28"/>
          <w:szCs w:val="28"/>
        </w:rPr>
        <w:t>由采购人评委会针对合格供应商进行综合评分。采购人将根据综合评分结果按由高到低顺序对供应商进行排序确定成交候选人。原则上排名第一的候选人成交，排名第一的</w:t>
      </w:r>
      <w:r>
        <w:fldChar w:fldCharType="begin"/>
      </w:r>
      <w:r>
        <w:instrText xml:space="preserve"> HYPERLINK "https://www.baidu.com/s?wd=%E4%B8%AD%E6%A0%87%E5%80%99%E9%80%89%E4%BA%BA&amp;tn=SE_PcZhidaonwhc_ngpagmjz&amp;rsv_dl=gh_pc_zhidao" \t "https://zhidao.baidu.com/question/_blank" </w:instrText>
      </w:r>
      <w:r>
        <w:fldChar w:fldCharType="separate"/>
      </w:r>
      <w:r>
        <w:rPr>
          <w:rFonts w:hint="eastAsia" w:ascii="仿宋_GB2312" w:hAnsi="仿宋_GB2312" w:eastAsia="仿宋_GB2312" w:cs="仿宋_GB2312"/>
          <w:snapToGrid w:val="0"/>
          <w:sz w:val="28"/>
          <w:szCs w:val="28"/>
        </w:rPr>
        <w:t>候选人</w:t>
      </w:r>
      <w:r>
        <w:rPr>
          <w:rFonts w:hint="eastAsia" w:ascii="仿宋_GB2312" w:hAnsi="仿宋_GB2312" w:eastAsia="仿宋_GB2312" w:cs="仿宋_GB2312"/>
          <w:snapToGrid w:val="0"/>
          <w:sz w:val="28"/>
          <w:szCs w:val="28"/>
        </w:rPr>
        <w:fldChar w:fldCharType="end"/>
      </w:r>
      <w:r>
        <w:rPr>
          <w:rFonts w:hint="eastAsia" w:ascii="仿宋_GB2312" w:hAnsi="仿宋_GB2312" w:eastAsia="仿宋_GB2312" w:cs="仿宋_GB2312"/>
          <w:snapToGrid w:val="0"/>
          <w:sz w:val="28"/>
          <w:szCs w:val="28"/>
        </w:rPr>
        <w:t>放弃成交、成交后未在规定时间内签订合同、因不可抗力提出不能履行合同或者</w:t>
      </w:r>
      <w:r>
        <w:fldChar w:fldCharType="begin"/>
      </w:r>
      <w:r>
        <w:instrText xml:space="preserve"> HYPERLINK "https://www.baidu.com/s?wd=%E6%8B%9B%E6%A0%87%E6%96%87%E4%BB%B6&amp;tn=SE_PcZhidaonwhc_ngpagmjz&amp;rsv_dl=gh_pc_zhidao" \t "https://zhidao.baidu.com/question/_blank" </w:instrText>
      </w:r>
      <w:r>
        <w:fldChar w:fldCharType="separate"/>
      </w:r>
      <w:r>
        <w:rPr>
          <w:rFonts w:hint="eastAsia" w:ascii="仿宋_GB2312" w:hAnsi="仿宋_GB2312" w:eastAsia="仿宋_GB2312" w:cs="仿宋_GB2312"/>
          <w:snapToGrid w:val="0"/>
          <w:sz w:val="28"/>
          <w:szCs w:val="28"/>
        </w:rPr>
        <w:t>磋商文件</w:t>
      </w:r>
      <w:r>
        <w:rPr>
          <w:rFonts w:hint="eastAsia" w:ascii="仿宋_GB2312" w:hAnsi="仿宋_GB2312" w:eastAsia="仿宋_GB2312" w:cs="仿宋_GB2312"/>
          <w:snapToGrid w:val="0"/>
          <w:sz w:val="28"/>
          <w:szCs w:val="28"/>
        </w:rPr>
        <w:fldChar w:fldCharType="end"/>
      </w:r>
      <w:r>
        <w:rPr>
          <w:rFonts w:hint="eastAsia" w:ascii="仿宋_GB2312" w:hAnsi="仿宋_GB2312" w:eastAsia="仿宋_GB2312" w:cs="仿宋_GB2312"/>
          <w:snapToGrid w:val="0"/>
          <w:sz w:val="28"/>
          <w:szCs w:val="28"/>
        </w:rPr>
        <w:t>规定应当提交履约保证金而在规定的期限内未能提交的，或者被查实存在影响成交结果的违法行为等情形，不符合成交条件的，采购人可以按照评委会提出的成交候选人名单排序依次确定其他候选人为成交人。依次确定其他成交候选人与采购人预期差距较大，或者对采购人明显不利的，采购人可以重新进行竞争性磋商。若有2家及以上的成交候选人综合得分相同且排名第一，则最终报价低者成交，若最终报价仍相同，则由采购人抽签确定成交人。</w:t>
      </w:r>
    </w:p>
    <w:p>
      <w:pPr>
        <w:autoSpaceDE w:val="0"/>
        <w:autoSpaceDN w:val="0"/>
        <w:adjustRightInd w:val="0"/>
        <w:jc w:val="left"/>
        <w:rPr>
          <w:rFonts w:hint="eastAsia"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3</w:t>
      </w:r>
      <w:r>
        <w:rPr>
          <w:rFonts w:hint="eastAsia" w:ascii="仿宋_GB2312" w:hAnsi="仿宋_GB2312" w:eastAsia="仿宋_GB2312" w:cs="仿宋_GB2312"/>
          <w:snapToGrid w:val="0"/>
          <w:sz w:val="28"/>
          <w:szCs w:val="28"/>
        </w:rPr>
        <w:t>综合评分内容如下：</w:t>
      </w:r>
    </w:p>
    <w:p>
      <w:pPr>
        <w:pStyle w:val="2"/>
        <w:rPr>
          <w:rFonts w:hint="eastAsia"/>
        </w:rPr>
      </w:pPr>
    </w:p>
    <w:p>
      <w:pPr>
        <w:pStyle w:val="2"/>
        <w:rPr>
          <w:rFonts w:hint="eastAsia" w:ascii="仿宋_GB2312" w:hAnsi="仿宋_GB2312" w:eastAsia="仿宋_GB2312" w:cs="仿宋_GB2312"/>
          <w:snapToGrid w:val="0"/>
          <w:sz w:val="28"/>
          <w:szCs w:val="28"/>
        </w:rPr>
      </w:pPr>
    </w:p>
    <w:p>
      <w:pPr>
        <w:pStyle w:val="2"/>
        <w:rPr>
          <w:rFonts w:hint="eastAsia" w:ascii="仿宋_GB2312" w:hAnsi="仿宋_GB2312" w:eastAsia="仿宋_GB2312" w:cs="仿宋_GB2312"/>
          <w:snapToGrid w:val="0"/>
          <w:sz w:val="28"/>
          <w:szCs w:val="28"/>
        </w:rPr>
      </w:pPr>
    </w:p>
    <w:tbl>
      <w:tblPr>
        <w:tblStyle w:val="21"/>
        <w:tblW w:w="9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1293"/>
        <w:gridCol w:w="1087"/>
        <w:gridCol w:w="548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70" w:type="dxa"/>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内容</w:t>
            </w:r>
          </w:p>
        </w:tc>
        <w:tc>
          <w:tcPr>
            <w:tcW w:w="1293" w:type="dxa"/>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项目</w:t>
            </w:r>
          </w:p>
        </w:tc>
        <w:tc>
          <w:tcPr>
            <w:tcW w:w="1087" w:type="dxa"/>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5486" w:type="dxa"/>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评分依据</w:t>
            </w:r>
          </w:p>
        </w:tc>
        <w:tc>
          <w:tcPr>
            <w:tcW w:w="1026" w:type="dxa"/>
          </w:tcPr>
          <w:p>
            <w:pPr>
              <w:jc w:val="center"/>
              <w:rPr>
                <w:rFonts w:hint="eastAsia" w:ascii="仿宋_GB2312" w:hAnsi="仿宋_GB2312" w:eastAsia="仿宋_GB2312" w:cs="仿宋_GB2312"/>
                <w:b/>
                <w:bCs/>
                <w:szCs w:val="21"/>
                <w:lang w:eastAsia="zh-CN"/>
              </w:rPr>
            </w:pPr>
            <w:r>
              <w:rPr>
                <w:rFonts w:hint="eastAsia" w:ascii="仿宋_GB2312" w:hAnsi="仿宋_GB2312" w:eastAsia="仿宋_GB2312" w:cs="仿宋_GB2312"/>
                <w:b/>
                <w:bCs/>
                <w:szCs w:val="21"/>
                <w:lang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70"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综合实力</w:t>
            </w: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案例</w:t>
            </w:r>
          </w:p>
          <w:p>
            <w:pPr>
              <w:jc w:val="left"/>
              <w:rPr>
                <w:rFonts w:hint="eastAsia" w:asciiTheme="minorEastAsia" w:hAnsiTheme="minorEastAsia" w:eastAsiaTheme="minorEastAsia" w:cstheme="minorEastAsia"/>
                <w:color w:val="000000"/>
                <w:szCs w:val="21"/>
              </w:rPr>
            </w:pP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10分</w:t>
            </w:r>
          </w:p>
          <w:p>
            <w:pPr>
              <w:jc w:val="center"/>
              <w:rPr>
                <w:rFonts w:hint="eastAsia" w:asciiTheme="minorEastAsia" w:hAnsiTheme="minorEastAsia" w:eastAsiaTheme="minorEastAsia" w:cstheme="minorEastAsia"/>
                <w:color w:val="000000"/>
                <w:szCs w:val="21"/>
              </w:rPr>
            </w:pPr>
          </w:p>
        </w:tc>
        <w:tc>
          <w:tcPr>
            <w:tcW w:w="5486" w:type="dxa"/>
            <w:vAlign w:val="top"/>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提供2017年以来</w:t>
            </w:r>
            <w:r>
              <w:rPr>
                <w:rFonts w:hint="eastAsia" w:asciiTheme="minorEastAsia" w:hAnsiTheme="minorEastAsia" w:eastAsiaTheme="minorEastAsia" w:cstheme="minorEastAsia"/>
                <w:color w:val="000000"/>
                <w:szCs w:val="21"/>
                <w:lang w:eastAsia="zh-CN"/>
              </w:rPr>
              <w:t>在金融机构</w:t>
            </w:r>
            <w:r>
              <w:rPr>
                <w:rFonts w:hint="eastAsia" w:asciiTheme="minorEastAsia" w:hAnsiTheme="minorEastAsia" w:eastAsiaTheme="minorEastAsia" w:cstheme="minorEastAsia"/>
                <w:color w:val="000000"/>
                <w:szCs w:val="21"/>
              </w:rPr>
              <w:t>成功实施信贷系统PMO管理项目或同等级难度的项目群PMO管理相关案例（提供案例相关合同的证明文件复印件），1个案例得</w:t>
            </w:r>
            <w:r>
              <w:rPr>
                <w:rFonts w:hint="eastAsia" w:asciiTheme="minorEastAsia" w:hAnsiTheme="minorEastAsia" w:eastAsiaTheme="minorEastAsia" w:cstheme="minorEastAsia"/>
                <w:color w:val="000000"/>
                <w:szCs w:val="21"/>
                <w:lang w:val="en-US" w:eastAsia="zh-CN"/>
              </w:rPr>
              <w:t>2</w:t>
            </w:r>
            <w:r>
              <w:rPr>
                <w:rFonts w:hint="eastAsia" w:asciiTheme="minorEastAsia" w:hAnsiTheme="minorEastAsia" w:eastAsiaTheme="minorEastAsia" w:cstheme="minorEastAsia"/>
                <w:color w:val="000000"/>
                <w:szCs w:val="21"/>
              </w:rPr>
              <w:t>分，最高得</w:t>
            </w:r>
            <w:r>
              <w:rPr>
                <w:rFonts w:hint="eastAsia" w:asciiTheme="minorEastAsia" w:hAnsiTheme="minorEastAsia" w:eastAsiaTheme="minorEastAsia" w:cstheme="minorEastAsia"/>
                <w:color w:val="000000"/>
                <w:szCs w:val="21"/>
                <w:lang w:val="en-US" w:eastAsia="zh-CN"/>
              </w:rPr>
              <w:t>10</w:t>
            </w:r>
            <w:r>
              <w:rPr>
                <w:rFonts w:hint="eastAsia" w:asciiTheme="minorEastAsia" w:hAnsiTheme="minorEastAsia" w:eastAsiaTheme="minorEastAsia" w:cstheme="minorEastAsia"/>
                <w:color w:val="000000"/>
                <w:szCs w:val="21"/>
              </w:rPr>
              <w:t>分。（同一家单位多个案例只能算一个</w:t>
            </w:r>
            <w:r>
              <w:rPr>
                <w:rFonts w:hint="eastAsia" w:asciiTheme="minorEastAsia" w:hAnsiTheme="minorEastAsia" w:eastAsiaTheme="minorEastAsia" w:cstheme="minorEastAsia"/>
                <w:color w:val="000000"/>
                <w:szCs w:val="21"/>
                <w:lang w:eastAsia="zh-CN"/>
              </w:rPr>
              <w:t>，</w:t>
            </w:r>
            <w:r>
              <w:rPr>
                <w:rFonts w:hint="eastAsia" w:asciiTheme="minorEastAsia" w:hAnsiTheme="minorEastAsia" w:eastAsiaTheme="minorEastAsia" w:cstheme="minorEastAsia"/>
                <w:color w:val="000000"/>
                <w:szCs w:val="21"/>
              </w:rPr>
              <w:t>原件根据需要提供备查）</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1070" w:type="dxa"/>
            <w:vMerge w:val="restart"/>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服务团队情况</w:t>
            </w:r>
          </w:p>
        </w:tc>
        <w:tc>
          <w:tcPr>
            <w:tcW w:w="1293" w:type="dxa"/>
            <w:vAlign w:val="center"/>
          </w:tcPr>
          <w:p>
            <w:pP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szCs w:val="21"/>
                <w:highlight w:val="none"/>
              </w:rPr>
              <w:t>项目团队实力</w:t>
            </w:r>
          </w:p>
        </w:tc>
        <w:tc>
          <w:tcPr>
            <w:tcW w:w="1087" w:type="dxa"/>
            <w:vAlign w:val="center"/>
          </w:tcPr>
          <w:p>
            <w:pPr>
              <w:jc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1</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tc>
        <w:tc>
          <w:tcPr>
            <w:tcW w:w="5486" w:type="dxa"/>
            <w:vAlign w:val="center"/>
          </w:tcPr>
          <w:p>
            <w:p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1.</w:t>
            </w:r>
            <w:r>
              <w:rPr>
                <w:rFonts w:hint="eastAsia" w:asciiTheme="minorEastAsia" w:hAnsiTheme="minorEastAsia" w:eastAsiaTheme="minorEastAsia" w:cstheme="minorEastAsia"/>
                <w:szCs w:val="21"/>
                <w:highlight w:val="none"/>
              </w:rPr>
              <w:t>项目总监</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p>
            <w:pPr>
              <w:numPr>
                <w:ilvl w:val="0"/>
                <w:numId w:val="0"/>
              </w:num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2.项目经理及其他人员</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p>
            <w:pPr>
              <w:numPr>
                <w:ilvl w:val="0"/>
                <w:numId w:val="0"/>
              </w:num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3.项目咨询专家顾问</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jc w:val="center"/>
        </w:trPr>
        <w:tc>
          <w:tcPr>
            <w:tcW w:w="1070" w:type="dxa"/>
            <w:vMerge w:val="continue"/>
            <w:vAlign w:val="center"/>
          </w:tcPr>
          <w:p>
            <w:pPr>
              <w:jc w:val="left"/>
              <w:rPr>
                <w:rFonts w:hint="eastAsia" w:asciiTheme="minorEastAsia" w:hAnsiTheme="minorEastAsia" w:eastAsiaTheme="minorEastAsia" w:cstheme="minorEastAsia"/>
                <w:color w:val="000000"/>
                <w:szCs w:val="21"/>
              </w:rPr>
            </w:pP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现场陈述</w:t>
            </w: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由评委根据现场陈述情况酌情打分：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（0分&lt;一般&lt;=1分；1分&lt;较好&lt;=3分；3分&lt;优良&lt;=5分；不到场或不陈述，得0分。）</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restart"/>
            <w:vAlign w:val="center"/>
          </w:tcPr>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工作方案、成果交付、增值服务、知识转移、培训等满意度</w:t>
            </w: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对项目的理解程度</w:t>
            </w: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对项目理解和认识全面、透彻、清晰、深刻，能够提供本行信贷系统规划服务项目关键方向和需求要点，清晰了解信贷系统相关领域的发展趋势和具备信贷系统相关项目落地方法和实践。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一般&lt;=1分；1分&lt;较好&lt;=3分；3分&lt;优良&lt;=5分）</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continue"/>
            <w:vAlign w:val="center"/>
          </w:tcPr>
          <w:p>
            <w:pPr>
              <w:jc w:val="left"/>
              <w:rPr>
                <w:rFonts w:hint="eastAsia" w:asciiTheme="minorEastAsia" w:hAnsiTheme="minorEastAsia" w:eastAsiaTheme="minorEastAsia" w:cstheme="minorEastAsia"/>
                <w:color w:val="000000"/>
                <w:szCs w:val="21"/>
              </w:rPr>
            </w:pP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成果交付、实施方案</w:t>
            </w: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1.项目成交交付（共10分）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项目实施内容能够提供完整、合理、清晰</w:t>
            </w:r>
            <w:r>
              <w:rPr>
                <w:rFonts w:hint="eastAsia" w:asciiTheme="minorEastAsia" w:hAnsiTheme="minorEastAsia" w:eastAsiaTheme="minorEastAsia" w:cstheme="minorEastAsia"/>
                <w:color w:val="000000"/>
                <w:szCs w:val="21"/>
                <w:lang w:eastAsia="zh-CN"/>
              </w:rPr>
              <w:t>，有效保证进度质量，且</w:t>
            </w:r>
            <w:r>
              <w:rPr>
                <w:rFonts w:hint="eastAsia" w:asciiTheme="minorEastAsia" w:hAnsiTheme="minorEastAsia" w:eastAsiaTheme="minorEastAsia" w:cstheme="minorEastAsia"/>
                <w:color w:val="000000"/>
                <w:szCs w:val="21"/>
              </w:rPr>
              <w:t>实施交付数量超出需求范围的或提供额外支持服务的（7分&lt;优良&lt;=10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项目实施内容能够提供完整、合理、清晰的交付件，无重大偏差和瑕疵，有效保证采购人项目进度质量的（4分&lt;较好&lt;=7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项目交付物基本涵盖本行提出的要求，但较为笼统，不够清晰的（0分&lt;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一般&lt;=4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2.项目实施方案（共15分）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项目实施方案科学、周密、清晰，进度安排合理、质量控制手段有效的（10&lt;优良&lt;=15）；</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项目实施方案基本合理和有效，但在进度安排、质量控制等方面有可能存在一定瑕疵或风险（5&lt;较好&lt;=10）；</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项目实施方案不合理，进度安排、质量控制等方面存在瑕疵或风险的（0&lt;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一般&lt;=5）。</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continue"/>
            <w:vAlign w:val="center"/>
          </w:tcPr>
          <w:p>
            <w:pPr>
              <w:jc w:val="left"/>
              <w:rPr>
                <w:rFonts w:hint="eastAsia" w:asciiTheme="minorEastAsia" w:hAnsiTheme="minorEastAsia" w:eastAsiaTheme="minorEastAsia" w:cstheme="minorEastAsia"/>
                <w:color w:val="000000"/>
                <w:szCs w:val="21"/>
              </w:rPr>
            </w:pP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实施计划、服务承诺、增值服务、知识转移与培训</w:t>
            </w: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1.项目实施计划（共5分）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有详细的项目实施计划、资源投入计划，并有指出合理的风险控制点和项目实施关键点，项目实施时间安排合理，且能够在计划的时间内保质保量完成项目（3分&lt;优良&lt;=5分）；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项目实施时间安排较为合理，但存在延误项目实施工期的可能性（1分&lt;较好&lt;=3分）；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项目实施时间安排不合理的（0分&lt;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2.项目服务承诺（共5分）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服务承诺要求包括信贷系统规划服务和后续规划成果落地实施支持，根据供应商响应文件提供内容酌情打分（0分&lt;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一般&lt;=1分；1分&lt;较好&lt;=3分；3分&lt;优良&lt;=5分）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3.项目增值服务和项目知识转移与培训（共5分）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w:t>
            </w:r>
            <w:r>
              <w:rPr>
                <w:rFonts w:hint="eastAsia" w:asciiTheme="minorEastAsia" w:hAnsiTheme="minorEastAsia" w:eastAsiaTheme="minorEastAsia" w:cstheme="minorEastAsia"/>
                <w:color w:val="000000"/>
                <w:szCs w:val="21"/>
                <w:lang w:eastAsia="zh-CN"/>
              </w:rPr>
              <w:t>；</w:t>
            </w:r>
            <w:r>
              <w:rPr>
                <w:rFonts w:hint="eastAsia" w:asciiTheme="minorEastAsia" w:hAnsiTheme="minorEastAsia" w:eastAsiaTheme="minorEastAsia" w:cstheme="minorEastAsia"/>
                <w:color w:val="000000"/>
                <w:szCs w:val="21"/>
              </w:rPr>
              <w:t>1分&lt;较好&lt;=3分；3分&lt;优良&lt;=5 分）</w:t>
            </w:r>
          </w:p>
        </w:tc>
        <w:tc>
          <w:tcPr>
            <w:tcW w:w="1026" w:type="dxa"/>
            <w:vAlign w:val="center"/>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Align w:val="top"/>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商务部分</w:t>
            </w:r>
          </w:p>
        </w:tc>
        <w:tc>
          <w:tcPr>
            <w:tcW w:w="1293" w:type="dxa"/>
            <w:vAlign w:val="top"/>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商务报价</w:t>
            </w:r>
          </w:p>
        </w:tc>
        <w:tc>
          <w:tcPr>
            <w:tcW w:w="1087" w:type="dxa"/>
            <w:vAlign w:val="top"/>
          </w:tcPr>
          <w:p>
            <w:pPr>
              <w:jc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分</w:t>
            </w:r>
          </w:p>
        </w:tc>
        <w:tc>
          <w:tcPr>
            <w:tcW w:w="5486" w:type="dxa"/>
            <w:vAlign w:val="top"/>
          </w:tcPr>
          <w:p>
            <w:pPr>
              <w:jc w:val="left"/>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以各有效供应商最终报价的最低价作为评审基准价，基准价得满分</w:t>
            </w: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分，其他价格得分=(评审基准价/最终报价）×</w:t>
            </w: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×100%。（结果保留2位小数）</w:t>
            </w:r>
          </w:p>
        </w:tc>
        <w:tc>
          <w:tcPr>
            <w:tcW w:w="1026" w:type="dxa"/>
            <w:vAlign w:val="center"/>
          </w:tcPr>
          <w:p>
            <w:pPr>
              <w:rPr>
                <w:rFonts w:hint="eastAsia" w:asciiTheme="minorEastAsia" w:hAnsiTheme="minorEastAsia" w:eastAsiaTheme="minorEastAsia" w:cstheme="minorEastAsia"/>
                <w:szCs w:val="21"/>
              </w:rPr>
            </w:pPr>
          </w:p>
        </w:tc>
      </w:tr>
    </w:tbl>
    <w:p>
      <w:pPr>
        <w:autoSpaceDE w:val="0"/>
        <w:autoSpaceDN w:val="0"/>
        <w:adjustRightInd w:val="0"/>
        <w:jc w:val="left"/>
        <w:rPr>
          <w:rFonts w:ascii="仿宋_GB2312" w:hAnsi="仿宋_GB2312" w:eastAsia="仿宋_GB2312" w:cs="仿宋_GB2312"/>
          <w:snapToGrid w:val="0"/>
          <w:sz w:val="28"/>
          <w:szCs w:val="28"/>
        </w:rPr>
      </w:pP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4</w:t>
      </w:r>
      <w:r>
        <w:rPr>
          <w:rFonts w:hint="eastAsia" w:ascii="仿宋_GB2312" w:hAnsi="仿宋_GB2312" w:eastAsia="仿宋_GB2312" w:cs="仿宋_GB2312"/>
          <w:snapToGrid w:val="0"/>
          <w:sz w:val="28"/>
          <w:szCs w:val="28"/>
        </w:rPr>
        <w:t>供应商的报价或者某些分项报价明显不合理或者低于成本，有可能影响服务质量和不能诚信履约的，评委会可以要求供应商以书面形式作必要澄清或者说明；若不能做出合理解释或提供相关证明材料的，评委会可以取消该供应商的成交候选资格。</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5</w:t>
      </w:r>
      <w:r>
        <w:rPr>
          <w:rFonts w:hint="eastAsia" w:ascii="仿宋_GB2312" w:hAnsi="仿宋_GB2312" w:eastAsia="仿宋_GB2312" w:cs="仿宋_GB2312"/>
          <w:snapToGrid w:val="0"/>
          <w:sz w:val="28"/>
          <w:szCs w:val="28"/>
        </w:rPr>
        <w:t>采购人不承诺报价最低者为成交者。</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6</w:t>
      </w:r>
      <w:r>
        <w:rPr>
          <w:rFonts w:hint="eastAsia" w:ascii="仿宋_GB2312" w:hAnsi="仿宋_GB2312" w:eastAsia="仿宋_GB2312" w:cs="仿宋_GB2312"/>
          <w:snapToGrid w:val="0"/>
          <w:sz w:val="28"/>
          <w:szCs w:val="28"/>
        </w:rPr>
        <w:t>在评审期间，供应商不得向采购人询问情况，不得进行旨在影响评审结果的活动，采购人保留对供应商进行疑问咨询的权力。</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7</w:t>
      </w:r>
      <w:r>
        <w:rPr>
          <w:rFonts w:hint="eastAsia" w:ascii="仿宋_GB2312" w:hAnsi="仿宋_GB2312" w:eastAsia="仿宋_GB2312" w:cs="仿宋_GB2312"/>
          <w:snapToGrid w:val="0"/>
          <w:sz w:val="28"/>
          <w:szCs w:val="28"/>
        </w:rPr>
        <w:t>在磋商、评审过程中，如有供应商联合故意抬高报价或其他不正当行为，采购人有权中止磋商或评审。</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8</w:t>
      </w:r>
      <w:r>
        <w:rPr>
          <w:rFonts w:hint="eastAsia" w:ascii="仿宋_GB2312" w:hAnsi="仿宋_GB2312" w:eastAsia="仿宋_GB2312" w:cs="仿宋_GB2312"/>
          <w:snapToGrid w:val="0"/>
          <w:sz w:val="28"/>
          <w:szCs w:val="28"/>
        </w:rPr>
        <w:t>采购人将对供应商的商业、技术秘密予以保密。</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9</w:t>
      </w:r>
      <w:r>
        <w:rPr>
          <w:rFonts w:hint="eastAsia" w:ascii="仿宋_GB2312" w:hAnsi="仿宋_GB2312" w:eastAsia="仿宋_GB2312" w:cs="仿宋_GB2312"/>
          <w:snapToGrid w:val="0"/>
          <w:sz w:val="28"/>
          <w:szCs w:val="28"/>
        </w:rPr>
        <w:t>采购人不承诺向未成交方解释原因。</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napToGrid w:val="0"/>
          <w:sz w:val="28"/>
          <w:szCs w:val="28"/>
        </w:rPr>
        <w:t>16.</w:t>
      </w:r>
      <w:r>
        <w:rPr>
          <w:rFonts w:hint="eastAsia" w:ascii="仿宋_GB2312" w:hAnsi="仿宋_GB2312" w:eastAsia="仿宋_GB2312" w:cs="仿宋_GB2312"/>
          <w:snapToGrid w:val="0"/>
          <w:sz w:val="28"/>
          <w:szCs w:val="28"/>
          <w:lang w:val="en-US" w:eastAsia="zh-CN"/>
        </w:rPr>
        <w:t>10</w:t>
      </w:r>
      <w:r>
        <w:rPr>
          <w:rFonts w:hint="eastAsia" w:ascii="仿宋_GB2312" w:hAnsi="仿宋_GB2312" w:eastAsia="仿宋_GB2312" w:cs="仿宋_GB2312"/>
          <w:snapToGrid w:val="0"/>
          <w:sz w:val="28"/>
          <w:szCs w:val="28"/>
        </w:rPr>
        <w:t>江苏张家港农村商业银行股份有限公司保留对本次竞争性磋商的最终解释权。</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17、无效响应</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属于下列情况之一者，</w:t>
      </w:r>
      <w:r>
        <w:rPr>
          <w:rFonts w:hint="eastAsia" w:ascii="仿宋_GB2312" w:hAnsi="仿宋_GB2312" w:eastAsia="仿宋_GB2312" w:cs="仿宋_GB2312"/>
          <w:sz w:val="28"/>
          <w:szCs w:val="28"/>
        </w:rPr>
        <w:t>将作为无效响应处理：</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17.1未按磋商文件规定的方式及时间交纳磋商保证金的；</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17.2资格不符合要求或未能提供合格资格文件的；</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17.3磋商响应文件未密封、未有效授权，磋商响应函、法定代表人授权书填写不完整的；</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17.4磋商响应文件</w:t>
      </w:r>
      <w:r>
        <w:rPr>
          <w:rFonts w:hint="eastAsia" w:ascii="仿宋_GB2312" w:hAnsi="仿宋_GB2312" w:eastAsia="仿宋_GB2312" w:cs="仿宋_GB2312"/>
          <w:snapToGrid w:val="0"/>
          <w:sz w:val="28"/>
          <w:szCs w:val="28"/>
        </w:rPr>
        <w:t>应盖公章而未盖公章或盖非公司公章的，或未</w:t>
      </w:r>
      <w:r>
        <w:rPr>
          <w:rFonts w:hint="eastAsia" w:ascii="仿宋_GB2312" w:hAnsi="仿宋_GB2312" w:eastAsia="仿宋_GB2312" w:cs="仿宋_GB2312"/>
          <w:sz w:val="28"/>
          <w:szCs w:val="28"/>
        </w:rPr>
        <w:t>经法定代表人（或授权代理人）签字或盖章的；</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17.5未实质性响应竞争性磋商文件的；</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17.6在竞争性磋商响应文件递交截止时间以后送达的磋商响应文件，或是通过电报、电话、电传、传真等其它非采购文件规定的方式递交的磋商响应文件；</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17.7供应商在磋商响应文件中提供虚假材料的；</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17.8最终报价高于首次报价的，按无效响应处理；</w:t>
      </w:r>
    </w:p>
    <w:p>
      <w:pPr>
        <w:autoSpaceDE w:val="0"/>
        <w:autoSpaceDN w:val="0"/>
        <w:adjustRightIn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17.9如有最高限价，报价高于最高限价的，按无效响应处理。</w:t>
      </w:r>
    </w:p>
    <w:p>
      <w:pPr>
        <w:autoSpaceDE w:val="0"/>
        <w:autoSpaceDN w:val="0"/>
        <w:adjustRightInd w:val="0"/>
        <w:jc w:val="left"/>
        <w:rPr>
          <w:rFonts w:ascii="仿宋_GB2312" w:hAnsi="仿宋_GB2312" w:eastAsia="仿宋_GB2312" w:cs="仿宋_GB2312"/>
          <w:snapToGrid w:val="0"/>
          <w:sz w:val="28"/>
          <w:szCs w:val="28"/>
        </w:rPr>
      </w:pPr>
      <w:r>
        <w:rPr>
          <w:rFonts w:hint="eastAsia" w:ascii="仿宋_GB2312" w:hAnsi="仿宋_GB2312" w:eastAsia="仿宋_GB2312" w:cs="仿宋_GB2312"/>
          <w:snapToGrid w:val="0"/>
          <w:sz w:val="28"/>
          <w:szCs w:val="28"/>
        </w:rPr>
        <w:t>17.10不符合法律、法规和本竞争性磋商文件规定的其他实质性要求的。</w:t>
      </w:r>
    </w:p>
    <w:p>
      <w:pPr>
        <w:spacing w:line="360" w:lineRule="auto"/>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（六）成交及合同签定</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18、成交通知</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18.1采购人不承诺向供应商披露竞争性磋商过程中任何细节，包括成交或未成交原因。</w:t>
      </w:r>
    </w:p>
    <w:p>
      <w:pPr>
        <w:adjustRightInd w:val="0"/>
        <w:rPr>
          <w:rFonts w:ascii="仿宋_GB2312" w:hAnsi="仿宋_GB2312" w:eastAsia="仿宋_GB2312" w:cs="仿宋_GB2312"/>
          <w:snapToGrid w:val="0"/>
          <w:sz w:val="28"/>
          <w:szCs w:val="28"/>
        </w:rPr>
      </w:pPr>
      <w:r>
        <w:rPr>
          <w:rFonts w:hint="eastAsia" w:ascii="仿宋_GB2312" w:hAnsi="仿宋_GB2312" w:eastAsia="仿宋_GB2312" w:cs="仿宋_GB2312"/>
          <w:sz w:val="28"/>
          <w:szCs w:val="28"/>
        </w:rPr>
        <w:t>18.2成交通知书：确定成交供应商</w:t>
      </w:r>
      <w:r>
        <w:rPr>
          <w:rFonts w:hint="eastAsia" w:ascii="仿宋_GB2312" w:hAnsi="仿宋_GB2312" w:eastAsia="仿宋_GB2312" w:cs="仿宋_GB2312"/>
          <w:snapToGrid w:val="0"/>
          <w:sz w:val="28"/>
          <w:szCs w:val="28"/>
        </w:rPr>
        <w:t>后，采购人将发出成交通知书，成交通知书将作为采购人与成交人签订合同的依据之一。</w:t>
      </w:r>
    </w:p>
    <w:p>
      <w:pPr>
        <w:adjustRightInd w:val="0"/>
        <w:rPr>
          <w:rFonts w:ascii="仿宋_GB2312" w:hAnsi="仿宋_GB2312" w:eastAsia="仿宋_GB2312" w:cs="仿宋_GB2312"/>
        </w:rPr>
      </w:pPr>
      <w:r>
        <w:rPr>
          <w:rFonts w:hint="eastAsia" w:ascii="仿宋_GB2312" w:hAnsi="仿宋_GB2312" w:eastAsia="仿宋_GB2312" w:cs="仿宋_GB2312"/>
          <w:sz w:val="28"/>
          <w:szCs w:val="28"/>
        </w:rPr>
        <w:t>18.3成交通知</w:t>
      </w:r>
      <w:r>
        <w:rPr>
          <w:rFonts w:hint="eastAsia" w:ascii="仿宋_GB2312" w:hAnsi="仿宋_GB2312" w:eastAsia="仿宋_GB2312" w:cs="仿宋_GB2312"/>
          <w:snapToGrid w:val="0"/>
          <w:sz w:val="28"/>
          <w:szCs w:val="28"/>
        </w:rPr>
        <w:t>书</w:t>
      </w:r>
      <w:r>
        <w:rPr>
          <w:rFonts w:hint="eastAsia" w:ascii="仿宋_GB2312" w:hAnsi="仿宋_GB2312" w:eastAsia="仿宋_GB2312" w:cs="仿宋_GB2312"/>
          <w:sz w:val="28"/>
          <w:szCs w:val="28"/>
        </w:rPr>
        <w:t>对采购人和成交人均具有法律效力。成交通知</w:t>
      </w:r>
      <w:r>
        <w:rPr>
          <w:rFonts w:hint="eastAsia" w:ascii="仿宋_GB2312" w:hAnsi="仿宋_GB2312" w:eastAsia="仿宋_GB2312" w:cs="仿宋_GB2312"/>
          <w:snapToGrid w:val="0"/>
          <w:sz w:val="28"/>
          <w:szCs w:val="28"/>
        </w:rPr>
        <w:t>书</w:t>
      </w:r>
      <w:r>
        <w:rPr>
          <w:rFonts w:hint="eastAsia" w:ascii="仿宋_GB2312" w:hAnsi="仿宋_GB2312" w:eastAsia="仿宋_GB2312" w:cs="仿宋_GB2312"/>
          <w:sz w:val="28"/>
          <w:szCs w:val="28"/>
        </w:rPr>
        <w:t>发出以后，采购人不得改变成交结果，成交人主动放弃成交或不能按规定签订合同的，采购人可以依法追究成交人的违约责任，成交人的磋商保证金将不予退还。</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19、合同签定</w:t>
      </w:r>
    </w:p>
    <w:p>
      <w:pPr>
        <w:adjustRightInd w:val="0"/>
        <w:rPr>
          <w:rFonts w:ascii="仿宋_GB2312" w:hAnsi="仿宋_GB2312" w:eastAsia="仿宋_GB2312" w:cs="仿宋_GB2312"/>
          <w:sz w:val="28"/>
          <w:szCs w:val="28"/>
        </w:rPr>
      </w:pPr>
      <w:r>
        <w:rPr>
          <w:rFonts w:hint="eastAsia" w:ascii="仿宋_GB2312" w:hAnsi="仿宋_GB2312" w:eastAsia="仿宋_GB2312" w:cs="仿宋_GB2312"/>
          <w:sz w:val="28"/>
          <w:szCs w:val="28"/>
        </w:rPr>
        <w:t>19.1成交人应按成交通知书规定的时间、地点,按照竞争性磋商文件确定的事项与采购人签订采购合同，且不得迟于成交通知书发出之日起三十日内。</w:t>
      </w:r>
    </w:p>
    <w:p>
      <w:pPr>
        <w:adjustRightInd w:val="0"/>
        <w:rPr>
          <w:rFonts w:ascii="仿宋_GB2312" w:hAnsi="仿宋_GB2312" w:eastAsia="仿宋_GB2312" w:cs="仿宋_GB2312"/>
          <w:sz w:val="28"/>
          <w:szCs w:val="28"/>
        </w:rPr>
      </w:pPr>
      <w:r>
        <w:rPr>
          <w:rFonts w:hint="eastAsia" w:ascii="仿宋_GB2312" w:hAnsi="仿宋_GB2312" w:eastAsia="仿宋_GB2312" w:cs="仿宋_GB2312"/>
          <w:sz w:val="28"/>
          <w:szCs w:val="28"/>
        </w:rPr>
        <w:t>19.2竞争性磋商文件、成交人的磋商响应文件及磋商过程中有关澄清、承诺文件均应作为合同的有效组成部分。</w:t>
      </w:r>
    </w:p>
    <w:p>
      <w:pPr>
        <w:adjustRightInd w:val="0"/>
        <w:rPr>
          <w:rFonts w:ascii="仿宋_GB2312" w:hAnsi="仿宋_GB2312" w:eastAsia="仿宋_GB2312" w:cs="仿宋_GB2312"/>
          <w:sz w:val="28"/>
          <w:szCs w:val="28"/>
        </w:rPr>
      </w:pPr>
      <w:r>
        <w:rPr>
          <w:rFonts w:hint="eastAsia" w:ascii="仿宋_GB2312" w:hAnsi="仿宋_GB2312" w:eastAsia="仿宋_GB2312" w:cs="仿宋_GB2312"/>
          <w:sz w:val="28"/>
          <w:szCs w:val="28"/>
        </w:rPr>
        <w:t>19.3签订合同后，成交人不得将成交项目转让（转包）给其他第三人。未经采购人同意，成交人也不得采用分包的形式履行合同，否则采购人有权终止合同，成交人的履约保证金将不予退还。转包或分包造成采购人损失的，成交人应承担相应赔偿责任。</w:t>
      </w:r>
    </w:p>
    <w:p>
      <w:pPr>
        <w:adjustRightInd w:val="0"/>
        <w:rPr>
          <w:rFonts w:ascii="仿宋_GB2312" w:hAnsi="仿宋_GB2312" w:eastAsia="仿宋_GB2312" w:cs="仿宋_GB2312"/>
          <w:b/>
          <w:bCs/>
          <w:sz w:val="28"/>
          <w:szCs w:val="28"/>
          <w:highlight w:val="none"/>
          <w:u w:val="single"/>
          <w:lang w:val="zh-CN"/>
        </w:rPr>
      </w:pPr>
      <w:r>
        <w:rPr>
          <w:rFonts w:hint="eastAsia" w:ascii="仿宋_GB2312" w:hAnsi="仿宋_GB2312" w:eastAsia="仿宋_GB2312" w:cs="仿宋_GB2312"/>
          <w:sz w:val="28"/>
          <w:szCs w:val="28"/>
        </w:rPr>
        <w:t>19.4付款方式</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u w:val="single"/>
        </w:rPr>
        <w:t>签订合同后，采购人向成交人支付合同金额的20%，待项目完成并验收合格后，采购人向成交人支付合同金额的70%，项目稳定运行1年后，采购人向成交人支付合同金额的10%，开票必须为增值税专用发票</w:t>
      </w:r>
      <w:r>
        <w:rPr>
          <w:rFonts w:hint="eastAsia" w:ascii="仿宋_GB2312" w:hAnsi="仿宋_GB2312" w:eastAsia="仿宋_GB2312" w:cs="仿宋_GB2312"/>
          <w:bCs/>
          <w:sz w:val="28"/>
          <w:szCs w:val="28"/>
          <w:highlight w:val="none"/>
          <w:u w:val="single"/>
          <w:lang w:val="zh-CN"/>
        </w:rPr>
        <w:t>。</w:t>
      </w:r>
    </w:p>
    <w:p>
      <w:pPr>
        <w:spacing w:line="360" w:lineRule="auto"/>
        <w:jc w:val="center"/>
        <w:rPr>
          <w:rFonts w:ascii="仿宋_GB2312" w:hAnsi="仿宋_GB2312" w:eastAsia="仿宋_GB2312" w:cs="仿宋_GB2312"/>
          <w:b/>
          <w:bCs/>
          <w:sz w:val="36"/>
          <w:szCs w:val="36"/>
        </w:rPr>
      </w:pPr>
    </w:p>
    <w:p>
      <w:pPr>
        <w:spacing w:line="360" w:lineRule="auto"/>
        <w:jc w:val="center"/>
        <w:rPr>
          <w:rFonts w:ascii="仿宋_GB2312" w:hAnsi="仿宋_GB2312" w:eastAsia="仿宋_GB2312" w:cs="仿宋_GB2312"/>
          <w:b/>
          <w:bCs/>
          <w:sz w:val="36"/>
          <w:szCs w:val="36"/>
        </w:rPr>
        <w:sectPr>
          <w:pgSz w:w="11906" w:h="16838"/>
          <w:pgMar w:top="1361" w:right="1080" w:bottom="1361" w:left="1080" w:header="851" w:footer="992" w:gutter="0"/>
          <w:cols w:space="720" w:num="1"/>
          <w:docGrid w:type="lines" w:linePitch="312" w:charSpace="0"/>
        </w:sectPr>
      </w:pPr>
    </w:p>
    <w:p>
      <w:pPr>
        <w:spacing w:line="360" w:lineRule="auto"/>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第三部分 竞争性磋商项目要求</w:t>
      </w:r>
    </w:p>
    <w:p>
      <w:pPr>
        <w:numPr>
          <w:ilvl w:val="0"/>
          <w:numId w:val="1"/>
        </w:num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项目要求</w:t>
      </w:r>
    </w:p>
    <w:p>
      <w:pPr>
        <w:shd w:val="clear" w:color="auto" w:fill="FFFFFF"/>
        <w:snapToGrid w:val="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20、项目技术要求</w:t>
      </w:r>
    </w:p>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0" w:name="_Toc20793"/>
      <w:bookmarkStart w:id="1" w:name="_Toc2017"/>
      <w:bookmarkStart w:id="2" w:name="_Toc26816"/>
      <w:bookmarkStart w:id="3" w:name="_Toc499467731"/>
      <w:bookmarkStart w:id="4" w:name="_Toc320977779"/>
      <w:r>
        <w:rPr>
          <w:rFonts w:hint="eastAsia" w:ascii="仿宋_GB2312" w:hAnsi="仿宋_GB2312" w:eastAsia="仿宋_GB2312" w:cs="仿宋_GB2312"/>
          <w:b/>
          <w:bCs/>
          <w:sz w:val="28"/>
          <w:szCs w:val="28"/>
          <w:highlight w:val="none"/>
          <w:lang w:val="en-US" w:eastAsia="zh-CN"/>
        </w:rPr>
        <w:t>20.1</w:t>
      </w:r>
      <w:r>
        <w:rPr>
          <w:rFonts w:hint="eastAsia" w:ascii="仿宋_GB2312" w:hAnsi="仿宋_GB2312" w:eastAsia="仿宋_GB2312" w:cs="仿宋_GB2312"/>
          <w:b/>
          <w:bCs/>
          <w:sz w:val="28"/>
          <w:szCs w:val="28"/>
          <w:highlight w:val="none"/>
          <w:lang w:eastAsia="zh-CN"/>
        </w:rPr>
        <w:t>采购方</w:t>
      </w:r>
      <w:r>
        <w:rPr>
          <w:rFonts w:hint="eastAsia" w:ascii="仿宋_GB2312" w:hAnsi="仿宋_GB2312" w:eastAsia="仿宋_GB2312" w:cs="仿宋_GB2312"/>
          <w:b/>
          <w:bCs/>
          <w:sz w:val="28"/>
          <w:szCs w:val="28"/>
          <w:highlight w:val="none"/>
        </w:rPr>
        <w:t>保留的权利</w:t>
      </w:r>
      <w:bookmarkEnd w:id="0"/>
      <w:bookmarkEnd w:id="1"/>
      <w:bookmarkEnd w:id="2"/>
    </w:p>
    <w:p>
      <w:pPr>
        <w:spacing w:line="560" w:lineRule="exact"/>
        <w:ind w:firstLine="42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eastAsia="zh-CN"/>
        </w:rPr>
        <w:t>采购方</w:t>
      </w:r>
      <w:r>
        <w:rPr>
          <w:rFonts w:hint="eastAsia" w:ascii="仿宋_GB2312" w:hAnsi="仿宋_GB2312" w:eastAsia="仿宋_GB2312" w:cs="仿宋_GB2312"/>
          <w:sz w:val="28"/>
          <w:szCs w:val="28"/>
          <w:highlight w:val="none"/>
        </w:rPr>
        <w:t>有在项目实施过程中调整设计和实施的权力。</w:t>
      </w:r>
    </w:p>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5" w:name="_Toc11891"/>
      <w:bookmarkStart w:id="6" w:name="_Toc11287"/>
      <w:bookmarkStart w:id="7" w:name="_Toc15501"/>
      <w:r>
        <w:rPr>
          <w:rFonts w:hint="eastAsia" w:ascii="仿宋_GB2312" w:hAnsi="仿宋_GB2312" w:eastAsia="仿宋_GB2312" w:cs="仿宋_GB2312"/>
          <w:b/>
          <w:bCs/>
          <w:sz w:val="28"/>
          <w:szCs w:val="28"/>
          <w:highlight w:val="none"/>
          <w:lang w:val="en-US" w:eastAsia="zh-CN"/>
        </w:rPr>
        <w:t>20.2</w:t>
      </w:r>
      <w:r>
        <w:rPr>
          <w:rFonts w:hint="eastAsia" w:ascii="仿宋_GB2312" w:hAnsi="仿宋_GB2312" w:eastAsia="仿宋_GB2312" w:cs="仿宋_GB2312"/>
          <w:b/>
          <w:bCs/>
          <w:sz w:val="28"/>
          <w:szCs w:val="28"/>
          <w:highlight w:val="none"/>
        </w:rPr>
        <w:t>项目</w:t>
      </w:r>
      <w:bookmarkEnd w:id="3"/>
      <w:bookmarkEnd w:id="4"/>
      <w:r>
        <w:rPr>
          <w:rFonts w:hint="eastAsia" w:ascii="仿宋_GB2312" w:hAnsi="仿宋_GB2312" w:eastAsia="仿宋_GB2312" w:cs="仿宋_GB2312"/>
          <w:b/>
          <w:bCs/>
          <w:sz w:val="28"/>
          <w:szCs w:val="28"/>
          <w:highlight w:val="none"/>
        </w:rPr>
        <w:t>背景</w:t>
      </w:r>
      <w:bookmarkEnd w:id="5"/>
      <w:bookmarkEnd w:id="6"/>
      <w:bookmarkEnd w:id="7"/>
    </w:p>
    <w:p>
      <w:pPr>
        <w:pStyle w:val="7"/>
        <w:spacing w:line="560" w:lineRule="exact"/>
        <w:ind w:firstLine="560"/>
        <w:rPr>
          <w:rFonts w:ascii="仿宋_GB2312" w:hAnsi="仿宋_GB2312" w:eastAsia="仿宋_GB2312" w:cs="仿宋_GB2312"/>
          <w:sz w:val="28"/>
          <w:szCs w:val="28"/>
          <w:highlight w:val="none"/>
        </w:rPr>
      </w:pPr>
      <w:bookmarkStart w:id="8" w:name="_Toc131562114"/>
      <w:r>
        <w:rPr>
          <w:rFonts w:hint="eastAsia" w:ascii="仿宋_GB2312" w:hAnsi="仿宋_GB2312" w:eastAsia="仿宋_GB2312" w:cs="仿宋_GB2312"/>
          <w:sz w:val="28"/>
          <w:szCs w:val="28"/>
          <w:highlight w:val="none"/>
        </w:rPr>
        <w:t xml:space="preserve"> 张家港农村商业银行（下称“本行”）当前一代信贷系统于20</w:t>
      </w:r>
      <w:bookmarkStart w:id="9" w:name="_Hlk500234909"/>
      <w:r>
        <w:rPr>
          <w:rFonts w:hint="eastAsia" w:ascii="仿宋_GB2312" w:hAnsi="仿宋_GB2312" w:eastAsia="仿宋_GB2312" w:cs="仿宋_GB2312"/>
          <w:sz w:val="28"/>
          <w:szCs w:val="28"/>
          <w:highlight w:val="none"/>
        </w:rPr>
        <w:t>11年启动重建</w:t>
      </w:r>
      <w:bookmarkEnd w:id="9"/>
      <w:r>
        <w:rPr>
          <w:rFonts w:hint="eastAsia" w:ascii="仿宋_GB2312" w:hAnsi="仿宋_GB2312" w:eastAsia="仿宋_GB2312" w:cs="仿宋_GB2312"/>
          <w:sz w:val="28"/>
          <w:szCs w:val="28"/>
          <w:highlight w:val="none"/>
        </w:rPr>
        <w:t>，于2012年8月份投产上线，基本实现信贷业务主要流程电子化、标准化和规范化，规范和提速了整个信贷操作流程，</w:t>
      </w:r>
      <w:r>
        <w:rPr>
          <w:rFonts w:hint="eastAsia" w:ascii="仿宋_GB2312" w:hAnsi="仿宋_GB2312" w:eastAsia="仿宋_GB2312" w:cs="仿宋_GB2312"/>
          <w:sz w:val="28"/>
          <w:szCs w:val="28"/>
          <w:highlight w:val="none"/>
          <w:lang w:eastAsia="zh-CN"/>
        </w:rPr>
        <w:t>为进一步加快业务发展，拟</w:t>
      </w:r>
      <w:r>
        <w:rPr>
          <w:rFonts w:hint="eastAsia" w:ascii="仿宋_GB2312" w:hAnsi="仿宋_GB2312" w:eastAsia="仿宋_GB2312" w:cs="仿宋_GB2312"/>
          <w:sz w:val="28"/>
          <w:szCs w:val="28"/>
          <w:highlight w:val="none"/>
        </w:rPr>
        <w:t>打造全新的信贷业务：</w:t>
      </w:r>
    </w:p>
    <w:p>
      <w:pPr>
        <w:numPr>
          <w:ilvl w:val="0"/>
          <w:numId w:val="9"/>
        </w:num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重塑信贷文化，构建全新的信贷体系</w:t>
      </w:r>
    </w:p>
    <w:p>
      <w:pPr>
        <w:spacing w:line="560" w:lineRule="exac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结合本行未来5-8年的发展规划和当前金融发展方向，重新梳理规划本行信贷体系，一是理清各条线业务和管理边界，二是规划风险管控体系。从贷前、贷中、贷后的全流程出发，构建本行传统信贷、互联网金融和交易银行多维度的信贷体系，重塑信贷文化。</w:t>
      </w:r>
    </w:p>
    <w:p>
      <w:pPr>
        <w:numPr>
          <w:ilvl w:val="0"/>
          <w:numId w:val="9"/>
        </w:num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系统建设和配套整合方案</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全面理清各系统间的逻辑关系，梳理信贷业务流程，实现信贷业务的全渠道获客、全流程业务处理、全口径产品覆盖、全方位风险控制、全维度额度管控和全集中押品管理，优化业务流程，整合系统架构，提升信贷业务的整体管理水平和运行效率，构建满足平台化、组件化、服务化、线上化、智能化的未来金融科技发展要求。</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因此，本次新一代信贷系统重建，不仅是系统的重新规划，还是整个信贷文化的深度重构，是信贷体系的变革，所以本次项目群建设周期长、复杂度高、涉及外围系统众多，是一个难度高且对本行战略发展有重大影响的项目。为了保证项目的按期保质完成，特从外部采购项目群PMO服务协助项目开展。</w:t>
      </w:r>
    </w:p>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10" w:name="_Toc19518"/>
      <w:bookmarkStart w:id="11" w:name="_Toc28083"/>
      <w:bookmarkStart w:id="12" w:name="_Toc16936"/>
      <w:r>
        <w:rPr>
          <w:rFonts w:hint="eastAsia" w:ascii="仿宋_GB2312" w:hAnsi="仿宋_GB2312" w:eastAsia="仿宋_GB2312" w:cs="仿宋_GB2312"/>
          <w:b/>
          <w:bCs/>
          <w:sz w:val="28"/>
          <w:szCs w:val="28"/>
          <w:highlight w:val="none"/>
          <w:lang w:val="en-US" w:eastAsia="zh-CN"/>
        </w:rPr>
        <w:t>20.3</w:t>
      </w:r>
      <w:r>
        <w:rPr>
          <w:rFonts w:hint="eastAsia" w:ascii="仿宋_GB2312" w:hAnsi="仿宋_GB2312" w:eastAsia="仿宋_GB2312" w:cs="仿宋_GB2312"/>
          <w:b/>
          <w:bCs/>
          <w:sz w:val="28"/>
          <w:szCs w:val="28"/>
          <w:highlight w:val="none"/>
        </w:rPr>
        <w:t>项目目标</w:t>
      </w:r>
      <w:bookmarkEnd w:id="10"/>
      <w:bookmarkEnd w:id="11"/>
      <w:bookmarkEnd w:id="12"/>
    </w:p>
    <w:bookmarkEnd w:id="8"/>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供应商</w:t>
      </w:r>
      <w:r>
        <w:rPr>
          <w:rFonts w:hint="eastAsia" w:ascii="仿宋_GB2312" w:hAnsi="仿宋_GB2312" w:eastAsia="仿宋_GB2312" w:cs="仿宋_GB2312"/>
          <w:sz w:val="28"/>
          <w:szCs w:val="28"/>
          <w:highlight w:val="none"/>
        </w:rPr>
        <w:t>作为协调项目各方的独立参与人，应以行方代理人的身份全面参与</w:t>
      </w:r>
      <w:r>
        <w:rPr>
          <w:rFonts w:hint="eastAsia" w:ascii="仿宋_GB2312" w:hAnsi="仿宋_GB2312" w:eastAsia="仿宋_GB2312" w:cs="仿宋_GB2312"/>
          <w:sz w:val="28"/>
          <w:szCs w:val="28"/>
          <w:highlight w:val="none"/>
          <w:lang w:eastAsia="zh-CN"/>
        </w:rPr>
        <w:t>采购方</w:t>
      </w:r>
      <w:r>
        <w:rPr>
          <w:rFonts w:hint="eastAsia" w:ascii="仿宋_GB2312" w:hAnsi="仿宋_GB2312" w:eastAsia="仿宋_GB2312" w:cs="仿宋_GB2312"/>
          <w:snapToGrid w:val="0"/>
          <w:sz w:val="28"/>
          <w:szCs w:val="28"/>
          <w:highlight w:val="none"/>
        </w:rPr>
        <w:t>新一代信贷系统咨询项目及</w:t>
      </w:r>
      <w:r>
        <w:rPr>
          <w:rFonts w:hint="eastAsia" w:ascii="仿宋_GB2312" w:hAnsi="仿宋_GB2312" w:eastAsia="仿宋_GB2312" w:cs="仿宋_GB2312"/>
          <w:sz w:val="28"/>
          <w:szCs w:val="28"/>
          <w:highlight w:val="none"/>
        </w:rPr>
        <w:t>实施项目的前期需求、中期实施和后期的上线工作，保证项目顺利进行，有效控制项目风险，具体工作包括但不限于计划与进度管理、项目质量管理、沟通与问题管理、需求与变更管理、测试与缺陷管理、验收与上线管理、文档管理、配置管理、环境管理等。</w:t>
      </w:r>
    </w:p>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13" w:name="_Toc227"/>
      <w:bookmarkStart w:id="14" w:name="_Toc21363"/>
      <w:bookmarkStart w:id="15" w:name="_Toc8230"/>
      <w:bookmarkStart w:id="16" w:name="_Toc131562121"/>
      <w:bookmarkStart w:id="17" w:name="_Toc320977795"/>
      <w:bookmarkStart w:id="18" w:name="_Toc131562120"/>
      <w:r>
        <w:rPr>
          <w:rFonts w:hint="eastAsia" w:ascii="仿宋_GB2312" w:hAnsi="仿宋_GB2312" w:eastAsia="仿宋_GB2312" w:cs="仿宋_GB2312"/>
          <w:b/>
          <w:bCs/>
          <w:sz w:val="28"/>
          <w:szCs w:val="28"/>
          <w:highlight w:val="none"/>
          <w:lang w:val="en-US" w:eastAsia="zh-CN"/>
        </w:rPr>
        <w:t>20.4</w:t>
      </w:r>
      <w:r>
        <w:rPr>
          <w:rFonts w:hint="eastAsia" w:ascii="仿宋_GB2312" w:hAnsi="仿宋_GB2312" w:eastAsia="仿宋_GB2312" w:cs="仿宋_GB2312"/>
          <w:b/>
          <w:bCs/>
          <w:sz w:val="28"/>
          <w:szCs w:val="28"/>
          <w:highlight w:val="none"/>
        </w:rPr>
        <w:t>项目内容</w:t>
      </w:r>
      <w:bookmarkEnd w:id="13"/>
      <w:bookmarkEnd w:id="14"/>
      <w:bookmarkEnd w:id="15"/>
    </w:p>
    <w:p>
      <w:pPr>
        <w:spacing w:line="560" w:lineRule="exact"/>
        <w:ind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rPr>
        <w:t>本项目的具体建设范围包括以业务规划和我行发展战略为指导，围绕新一代信贷系统群建设，提供项目群实施管理服务，保证项目成功上线。</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19" w:name="_Toc515458127"/>
      <w:bookmarkStart w:id="20" w:name="_Toc4972"/>
      <w:r>
        <w:rPr>
          <w:rFonts w:hint="eastAsia" w:ascii="仿宋_GB2312" w:hAnsi="仿宋_GB2312" w:eastAsia="仿宋_GB2312" w:cs="仿宋_GB2312"/>
          <w:bCs/>
          <w:sz w:val="28"/>
          <w:szCs w:val="28"/>
          <w:highlight w:val="none"/>
        </w:rPr>
        <w:t>制度体系建设</w:t>
      </w:r>
      <w:bookmarkEnd w:id="19"/>
      <w:bookmarkEnd w:id="20"/>
    </w:p>
    <w:p>
      <w:pPr>
        <w:numPr>
          <w:ilvl w:val="0"/>
          <w:numId w:val="0"/>
        </w:numPr>
        <w:spacing w:line="560" w:lineRule="exact"/>
        <w:ind w:left="-420" w:leftChars="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 xml:space="preserve">    1.</w:t>
      </w:r>
      <w:r>
        <w:rPr>
          <w:rFonts w:hint="eastAsia" w:ascii="仿宋_GB2312" w:hAnsi="仿宋_GB2312" w:eastAsia="仿宋_GB2312" w:cs="仿宋_GB2312"/>
          <w:bCs/>
          <w:color w:val="000000"/>
          <w:sz w:val="28"/>
          <w:szCs w:val="28"/>
          <w:highlight w:val="none"/>
        </w:rPr>
        <w:t>主导撰写全生命周期“项目群管理体系”，包含项目群组织架构及职责、主体项目群管理章程、各阶段规程文件、流程图、操作指南、模板与表格等。</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针对差异化需求、简单需求、快速迭代需求等制定需求变更与投产管理要求与操作指南，制定需求管控策略。</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21" w:name="_Toc14779"/>
      <w:bookmarkStart w:id="22" w:name="_Toc515458128"/>
      <w:r>
        <w:rPr>
          <w:rFonts w:hint="eastAsia" w:ascii="仿宋_GB2312" w:hAnsi="仿宋_GB2312" w:eastAsia="仿宋_GB2312" w:cs="仿宋_GB2312"/>
          <w:bCs/>
          <w:sz w:val="28"/>
          <w:szCs w:val="28"/>
          <w:highlight w:val="none"/>
        </w:rPr>
        <w:t>项目策划</w:t>
      </w:r>
      <w:bookmarkEnd w:id="21"/>
      <w:bookmarkEnd w:id="22"/>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制定项目群总体计划，包含制定项目群的关键里程碑计划、各项目组的工作计划、人力资源配置、场地环境等主要项目资源计划，负责项目计划制定、维护及发布。</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参与讨论、制定和评审项目各阶段的详细工作方案及计划，包括需求、开发、测试、数据迁移、投产等各阶段。</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跟踪项目群总体计划和各工作小组计划的实施情况，进行项目进度和质量的风险把控，对问题、风险及早识别并进行跟踪管理。</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定期组织项目进度管理会议，评审并提交项目计划执行情况，对影响计划执行的因素进行梳理及时提出修改措施意见，并督促跟踪相关实施方或业务部门及时改进。对于严重影响项目进度的事项，及时提交项目管理办公室及领导小组办公室讨论。</w:t>
      </w:r>
    </w:p>
    <w:p>
      <w:pPr>
        <w:numPr>
          <w:ilvl w:val="0"/>
          <w:numId w:val="0"/>
        </w:numPr>
        <w:spacing w:line="560" w:lineRule="exact"/>
        <w:ind w:left="-420" w:leftChars="0" w:firstLine="560" w:firstLineChars="200"/>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项目上线计划或关键里程碑发出变化时，及时组织进行项目计划修订工作。</w:t>
      </w:r>
    </w:p>
    <w:p>
      <w:pPr>
        <w:pStyle w:val="2"/>
        <w:rPr>
          <w:highlight w:val="none"/>
        </w:rPr>
      </w:pPr>
    </w:p>
    <w:p>
      <w:pPr>
        <w:pStyle w:val="5"/>
        <w:pageBreakBefore w:val="0"/>
        <w:widowControl/>
        <w:numPr>
          <w:ilvl w:val="0"/>
          <w:numId w:val="10"/>
        </w:numPr>
        <w:tabs>
          <w:tab w:val="left" w:pos="851"/>
          <w:tab w:val="left" w:pos="1021"/>
          <w:tab w:val="left" w:pos="1506"/>
        </w:tabs>
        <w:kinsoku/>
        <w:wordWrap/>
        <w:overflowPunct/>
        <w:topLinePunct w:val="0"/>
        <w:autoSpaceDE/>
        <w:autoSpaceDN/>
        <w:bidi w:val="0"/>
        <w:adjustRightInd/>
        <w:snapToGrid/>
        <w:spacing w:before="0" w:after="0" w:line="560" w:lineRule="exact"/>
        <w:ind w:left="0" w:firstLine="0"/>
        <w:jc w:val="both"/>
        <w:textAlignment w:val="auto"/>
        <w:rPr>
          <w:rFonts w:ascii="仿宋_GB2312" w:hAnsi="仿宋_GB2312" w:eastAsia="仿宋_GB2312" w:cs="仿宋_GB2312"/>
          <w:bCs/>
          <w:sz w:val="28"/>
          <w:szCs w:val="28"/>
          <w:highlight w:val="none"/>
        </w:rPr>
      </w:pPr>
      <w:bookmarkStart w:id="23" w:name="_Toc515458129"/>
      <w:bookmarkStart w:id="24" w:name="_Toc12142"/>
      <w:r>
        <w:rPr>
          <w:rFonts w:hint="eastAsia" w:ascii="仿宋_GB2312" w:hAnsi="仿宋_GB2312" w:eastAsia="仿宋_GB2312" w:cs="仿宋_GB2312"/>
          <w:bCs/>
          <w:sz w:val="28"/>
          <w:szCs w:val="28"/>
          <w:highlight w:val="none"/>
        </w:rPr>
        <w:t>沟通与汇报</w:t>
      </w:r>
      <w:bookmarkEnd w:id="23"/>
      <w:bookmarkEnd w:id="24"/>
    </w:p>
    <w:p>
      <w:pPr>
        <w:pageBreakBefore w:val="0"/>
        <w:numPr>
          <w:ilvl w:val="0"/>
          <w:numId w:val="0"/>
        </w:numPr>
        <w:kinsoku/>
        <w:wordWrap/>
        <w:overflowPunct/>
        <w:topLinePunct w:val="0"/>
        <w:autoSpaceDE/>
        <w:autoSpaceDN/>
        <w:bidi w:val="0"/>
        <w:adjustRightInd/>
        <w:snapToGrid/>
        <w:spacing w:line="560" w:lineRule="exact"/>
        <w:ind w:left="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组织召开项目定期例会和不定期沟通会议，并准备会议相应材料。</w:t>
      </w:r>
    </w:p>
    <w:p>
      <w:pPr>
        <w:pageBreakBefore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整理记录会议资料并归档保存，跟踪会议事项。</w:t>
      </w:r>
    </w:p>
    <w:p>
      <w:pPr>
        <w:pageBreakBefore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确定项目群沟通方式、通讯与工具、沟通与报告路径等。</w:t>
      </w:r>
    </w:p>
    <w:p>
      <w:pPr>
        <w:pageBreakBefore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确定项目群的会议、专题讨论、访谈沟通等制度要求。</w:t>
      </w:r>
    </w:p>
    <w:p>
      <w:pPr>
        <w:pageBreakBefore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负责编制项目里程碑、专题报告等，协助行方进行汇报。</w:t>
      </w:r>
    </w:p>
    <w:p>
      <w:pPr>
        <w:pageBreakBefore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6.</w:t>
      </w:r>
      <w:r>
        <w:rPr>
          <w:rFonts w:hint="eastAsia" w:ascii="仿宋_GB2312" w:hAnsi="仿宋_GB2312" w:eastAsia="仿宋_GB2312" w:cs="仿宋_GB2312"/>
          <w:bCs/>
          <w:color w:val="000000"/>
          <w:sz w:val="28"/>
          <w:szCs w:val="28"/>
          <w:highlight w:val="none"/>
        </w:rPr>
        <w:t>组织不同层级的沟通策略，参与沟通与协调，协助项目决策。</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25" w:name="_Toc22626"/>
      <w:bookmarkStart w:id="26" w:name="_Toc515458130"/>
      <w:r>
        <w:rPr>
          <w:rFonts w:hint="eastAsia" w:ascii="仿宋_GB2312" w:hAnsi="仿宋_GB2312" w:eastAsia="仿宋_GB2312" w:cs="仿宋_GB2312"/>
          <w:bCs/>
          <w:sz w:val="28"/>
          <w:szCs w:val="28"/>
          <w:highlight w:val="none"/>
        </w:rPr>
        <w:t>风险与问题</w:t>
      </w:r>
      <w:bookmarkEnd w:id="25"/>
      <w:bookmarkEnd w:id="26"/>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制定项目风险与问题管理方案，在项目的每一个阶段密切关注，对于任何一方或项目本身出现的问题及时向行方项目管理办公室提出。</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发现项目风险或问题，组织问题梳理，结合同业实践，提供有助于问题解决的措施方案介绍。</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组织协调各方参与风险或问题的讨论以达成解决方案。</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参与行方各级的项目管理与决策会议，汇报项目进展情况，结合同业实践，提供决策内容介绍，保障整个信贷系统项目顺利进行，控制项目风险。</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27" w:name="_Toc13192"/>
      <w:bookmarkStart w:id="28" w:name="_Toc515458131"/>
      <w:r>
        <w:rPr>
          <w:rFonts w:hint="eastAsia" w:ascii="仿宋_GB2312" w:hAnsi="仿宋_GB2312" w:eastAsia="仿宋_GB2312" w:cs="仿宋_GB2312"/>
          <w:bCs/>
          <w:sz w:val="28"/>
          <w:szCs w:val="28"/>
          <w:highlight w:val="none"/>
        </w:rPr>
        <w:t>项目监控与评价</w:t>
      </w:r>
      <w:bookmarkEnd w:id="27"/>
      <w:bookmarkEnd w:id="28"/>
    </w:p>
    <w:p>
      <w:pPr>
        <w:numPr>
          <w:ilvl w:val="0"/>
          <w:numId w:val="0"/>
        </w:numPr>
        <w:spacing w:line="560" w:lineRule="exact"/>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组织定义业务需求管理框架，从业务维度精确项目范围。</w:t>
      </w:r>
    </w:p>
    <w:p>
      <w:pPr>
        <w:numPr>
          <w:ilvl w:val="0"/>
          <w:numId w:val="0"/>
        </w:numPr>
        <w:spacing w:line="560" w:lineRule="exact"/>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组织制订项目考核激励方案并通过评审。</w:t>
      </w:r>
    </w:p>
    <w:p>
      <w:pPr>
        <w:numPr>
          <w:ilvl w:val="0"/>
          <w:numId w:val="0"/>
        </w:numPr>
        <w:spacing w:line="560" w:lineRule="exact"/>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参与</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组织的本项目群主要成员面试。</w:t>
      </w:r>
    </w:p>
    <w:p>
      <w:pPr>
        <w:numPr>
          <w:ilvl w:val="0"/>
          <w:numId w:val="0"/>
        </w:numPr>
        <w:spacing w:line="560" w:lineRule="exact"/>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协助参与项目群数据度量体系的建立，负责度量体系的执行。</w:t>
      </w:r>
    </w:p>
    <w:p>
      <w:pPr>
        <w:numPr>
          <w:ilvl w:val="0"/>
          <w:numId w:val="0"/>
        </w:numPr>
        <w:spacing w:line="560" w:lineRule="exact"/>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协助项目群的文化建设。</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29" w:name="_Toc515458132"/>
      <w:bookmarkStart w:id="30" w:name="_Toc896"/>
      <w:r>
        <w:rPr>
          <w:rFonts w:hint="eastAsia" w:ascii="仿宋_GB2312" w:hAnsi="仿宋_GB2312" w:eastAsia="仿宋_GB2312" w:cs="仿宋_GB2312"/>
          <w:bCs/>
          <w:sz w:val="28"/>
          <w:szCs w:val="28"/>
          <w:highlight w:val="none"/>
        </w:rPr>
        <w:t>质量管理</w:t>
      </w:r>
      <w:bookmarkEnd w:id="29"/>
      <w:bookmarkEnd w:id="30"/>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制定各项交付件清单目录与标准模板，包括但不限于业务需求、开发设计、测试方案、数据移植、上线计划等。</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制定新一代信贷系统群各阶段准入、准出管理与技术标准，作为各阶段的决策依据。</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参与检查各阶段工作的交付件，及时指出问题与潜在风险，并提出整改建议，供行方决策。</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整理、归档各阶段交付内容并移交银行。</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项目群实施过程中把控整体项目质量。</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31" w:name="_Toc515458133"/>
      <w:r>
        <w:rPr>
          <w:rFonts w:hint="eastAsia" w:ascii="仿宋_GB2312" w:hAnsi="仿宋_GB2312" w:eastAsia="仿宋_GB2312" w:cs="仿宋_GB2312"/>
          <w:bCs/>
          <w:sz w:val="28"/>
          <w:szCs w:val="28"/>
          <w:highlight w:val="none"/>
        </w:rPr>
        <w:t>专家管控</w:t>
      </w:r>
      <w:bookmarkEnd w:id="31"/>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在新一代信贷系统群落地过程中，站在项目群管理角度提供整体架构落地与管控的专家意见。</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参与关键专题讨论，并通过会议、抽查等方式，及时识别发现潜在风险，并推动风险与问题的解决。</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32" w:name="_Toc515458134"/>
      <w:bookmarkStart w:id="33" w:name="_Toc482264534"/>
      <w:r>
        <w:rPr>
          <w:rFonts w:hint="eastAsia" w:ascii="仿宋_GB2312" w:hAnsi="仿宋_GB2312" w:eastAsia="仿宋_GB2312" w:cs="仿宋_GB2312"/>
          <w:bCs/>
          <w:sz w:val="28"/>
          <w:szCs w:val="28"/>
          <w:highlight w:val="none"/>
        </w:rPr>
        <w:t>测试管控</w:t>
      </w:r>
      <w:bookmarkEnd w:id="32"/>
      <w:bookmarkEnd w:id="33"/>
    </w:p>
    <w:p>
      <w:pPr>
        <w:spacing w:line="560" w:lineRule="exact"/>
        <w:ind w:firstLine="560" w:firstLineChars="200"/>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协助制定测试管理体系架构，协助组织审核第三方测试公司提供的测试总体计划、测试方案等。</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34" w:name="_Toc482264535"/>
      <w:bookmarkStart w:id="35" w:name="_Toc515458135"/>
      <w:r>
        <w:rPr>
          <w:rFonts w:hint="eastAsia" w:ascii="仿宋_GB2312" w:hAnsi="仿宋_GB2312" w:eastAsia="仿宋_GB2312" w:cs="仿宋_GB2312"/>
          <w:bCs/>
          <w:sz w:val="28"/>
          <w:szCs w:val="28"/>
          <w:highlight w:val="none"/>
        </w:rPr>
        <w:t>上线管控</w:t>
      </w:r>
      <w:bookmarkEnd w:id="34"/>
      <w:bookmarkEnd w:id="35"/>
    </w:p>
    <w:p>
      <w:pPr>
        <w:spacing w:line="560" w:lineRule="exact"/>
        <w:ind w:firstLine="560" w:firstLineChars="200"/>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组织制定上线组织架构、上线整体方案、上线控制总表、详细分时计划，组织上线准备工作，包含业务管理办法、操作规程、切换手册、业务参数配置、系统环境安装与清理、数据备份、数据清理与补录等，组织制定上线切换应急、业务连续性等方案，参与切换演练工作，组织系统上线报备工作。</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36" w:name="_Toc482264536"/>
      <w:bookmarkStart w:id="37" w:name="_Toc515458136"/>
      <w:r>
        <w:rPr>
          <w:rFonts w:hint="eastAsia" w:ascii="仿宋_GB2312" w:hAnsi="仿宋_GB2312" w:eastAsia="仿宋_GB2312" w:cs="仿宋_GB2312"/>
          <w:bCs/>
          <w:sz w:val="28"/>
          <w:szCs w:val="28"/>
          <w:highlight w:val="none"/>
        </w:rPr>
        <w:t>验收管控</w:t>
      </w:r>
      <w:bookmarkEnd w:id="36"/>
      <w:bookmarkEnd w:id="37"/>
    </w:p>
    <w:p>
      <w:pPr>
        <w:spacing w:line="560" w:lineRule="exact"/>
        <w:ind w:firstLine="560" w:firstLineChars="200"/>
        <w:rPr>
          <w:rFonts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制定验收与上线的标准、流程、工作模板，协助</w:t>
      </w:r>
      <w:r>
        <w:rPr>
          <w:rFonts w:hint="eastAsia" w:ascii="仿宋_GB2312" w:hAnsi="仿宋_GB2312" w:eastAsia="仿宋_GB2312" w:cs="仿宋_GB2312"/>
          <w:color w:val="000000"/>
          <w:sz w:val="28"/>
          <w:szCs w:val="28"/>
          <w:highlight w:val="none"/>
          <w:lang w:eastAsia="zh-CN"/>
        </w:rPr>
        <w:t>采购方</w:t>
      </w:r>
      <w:r>
        <w:rPr>
          <w:rFonts w:hint="eastAsia" w:ascii="仿宋_GB2312" w:hAnsi="仿宋_GB2312" w:eastAsia="仿宋_GB2312" w:cs="仿宋_GB2312"/>
          <w:color w:val="000000"/>
          <w:sz w:val="28"/>
          <w:szCs w:val="28"/>
          <w:highlight w:val="none"/>
        </w:rPr>
        <w:t>的验收工作。</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38" w:name="_Toc1293"/>
      <w:bookmarkStart w:id="39" w:name="_Toc515458137"/>
      <w:r>
        <w:rPr>
          <w:rFonts w:hint="eastAsia" w:ascii="仿宋_GB2312" w:hAnsi="仿宋_GB2312" w:eastAsia="仿宋_GB2312" w:cs="仿宋_GB2312"/>
          <w:bCs/>
          <w:sz w:val="28"/>
          <w:szCs w:val="28"/>
          <w:highlight w:val="none"/>
        </w:rPr>
        <w:t>知识转移与培训</w:t>
      </w:r>
      <w:bookmarkEnd w:id="38"/>
      <w:bookmarkEnd w:id="39"/>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负责对项目管理全过程的方法论、制度体系、操作指南、模板表格与使用工具进行培训，确保项目组成员具备项目所需的技能。</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总结项目关键知识点、最佳实践、同业方案等，形成项目知识库。</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40" w:name="_Toc515458138"/>
      <w:bookmarkStart w:id="41" w:name="_Toc11005"/>
      <w:r>
        <w:rPr>
          <w:rFonts w:hint="eastAsia" w:ascii="仿宋_GB2312" w:hAnsi="仿宋_GB2312" w:eastAsia="仿宋_GB2312" w:cs="仿宋_GB2312"/>
          <w:bCs/>
          <w:sz w:val="28"/>
          <w:szCs w:val="28"/>
          <w:highlight w:val="none"/>
        </w:rPr>
        <w:t>工具支持</w:t>
      </w:r>
      <w:bookmarkEnd w:id="40"/>
      <w:bookmarkEnd w:id="41"/>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提供项目群所需的工具与支持，包含但不限于需求管理工具、项目管理工具、上线管理工具等，如果相关工具产生费用，请单独报价。</w:t>
      </w:r>
    </w:p>
    <w:p>
      <w:pPr>
        <w:numPr>
          <w:ilvl w:val="0"/>
          <w:numId w:val="0"/>
        </w:numPr>
        <w:spacing w:line="560" w:lineRule="exact"/>
        <w:ind w:left="-420"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对于</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自有工具</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要迅速学习应用，在项目群进行推广实施。</w:t>
      </w:r>
    </w:p>
    <w:p>
      <w:pPr>
        <w:pStyle w:val="5"/>
        <w:widowControl/>
        <w:numPr>
          <w:ilvl w:val="0"/>
          <w:numId w:val="10"/>
        </w:numPr>
        <w:tabs>
          <w:tab w:val="left" w:pos="851"/>
          <w:tab w:val="left" w:pos="1021"/>
          <w:tab w:val="left" w:pos="1506"/>
        </w:tabs>
        <w:spacing w:line="560" w:lineRule="exact"/>
        <w:ind w:firstLine="0"/>
        <w:jc w:val="both"/>
        <w:rPr>
          <w:rFonts w:ascii="仿宋_GB2312" w:hAnsi="仿宋_GB2312" w:eastAsia="仿宋_GB2312" w:cs="仿宋_GB2312"/>
          <w:bCs/>
          <w:sz w:val="28"/>
          <w:szCs w:val="28"/>
          <w:highlight w:val="none"/>
        </w:rPr>
      </w:pPr>
      <w:bookmarkStart w:id="42" w:name="_Toc515458139"/>
      <w:r>
        <w:rPr>
          <w:rFonts w:hint="eastAsia" w:ascii="仿宋_GB2312" w:hAnsi="仿宋_GB2312" w:eastAsia="仿宋_GB2312" w:cs="仿宋_GB2312"/>
          <w:bCs/>
          <w:sz w:val="28"/>
          <w:szCs w:val="28"/>
          <w:highlight w:val="none"/>
        </w:rPr>
        <w:t>配置管理及环境管理</w:t>
      </w:r>
      <w:bookmarkEnd w:id="42"/>
    </w:p>
    <w:p>
      <w:pPr>
        <w:spacing w:line="560" w:lineRule="exact"/>
        <w:ind w:firstLine="42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rPr>
        <w:t>根据我行现状及行业经验，协助我行制定配置管理及环境管理规范，在项目实施过程中将配置管理及环境管理工作纳入项目群管理范围。</w:t>
      </w:r>
    </w:p>
    <w:p>
      <w:pPr>
        <w:spacing w:line="560" w:lineRule="exact"/>
        <w:outlineLvl w:val="0"/>
        <w:rPr>
          <w:rFonts w:ascii="仿宋_GB2312" w:hAnsi="仿宋_GB2312" w:eastAsia="仿宋_GB2312" w:cs="仿宋_GB2312"/>
          <w:b/>
          <w:bCs/>
          <w:sz w:val="28"/>
          <w:szCs w:val="28"/>
          <w:highlight w:val="none"/>
        </w:rPr>
      </w:pPr>
    </w:p>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43" w:name="_Toc8399"/>
      <w:bookmarkStart w:id="44" w:name="_Toc10638"/>
      <w:bookmarkStart w:id="45" w:name="_Toc8593"/>
      <w:r>
        <w:rPr>
          <w:rFonts w:hint="eastAsia" w:ascii="仿宋_GB2312" w:hAnsi="仿宋_GB2312" w:eastAsia="仿宋_GB2312" w:cs="仿宋_GB2312"/>
          <w:b/>
          <w:bCs/>
          <w:sz w:val="28"/>
          <w:szCs w:val="28"/>
          <w:highlight w:val="none"/>
          <w:lang w:val="en-US" w:eastAsia="zh-CN"/>
        </w:rPr>
        <w:t>20.5</w:t>
      </w:r>
      <w:r>
        <w:rPr>
          <w:rFonts w:hint="eastAsia" w:ascii="仿宋_GB2312" w:hAnsi="仿宋_GB2312" w:eastAsia="仿宋_GB2312" w:cs="仿宋_GB2312"/>
          <w:b/>
          <w:bCs/>
          <w:sz w:val="28"/>
          <w:szCs w:val="28"/>
          <w:highlight w:val="none"/>
        </w:rPr>
        <w:t>项目交付清单</w:t>
      </w:r>
      <w:bookmarkEnd w:id="43"/>
      <w:bookmarkEnd w:id="44"/>
      <w:bookmarkEnd w:id="45"/>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在项目实施过程中，提供有助于项目顺利开展的专家建议，</w:t>
      </w:r>
      <w:r>
        <w:rPr>
          <w:rFonts w:hint="eastAsia" w:ascii="仿宋_GB2312" w:hAnsi="仿宋_GB2312" w:eastAsia="仿宋_GB2312" w:cs="仿宋_GB2312"/>
          <w:sz w:val="28"/>
          <w:szCs w:val="28"/>
          <w:highlight w:val="none"/>
          <w:lang w:eastAsia="zh-CN"/>
        </w:rPr>
        <w:t>成交</w:t>
      </w:r>
      <w:r>
        <w:rPr>
          <w:rFonts w:hint="eastAsia" w:ascii="仿宋_GB2312" w:hAnsi="仿宋_GB2312" w:eastAsia="仿宋_GB2312" w:cs="仿宋_GB2312"/>
          <w:sz w:val="28"/>
          <w:szCs w:val="28"/>
          <w:highlight w:val="none"/>
        </w:rPr>
        <w:t>人交付品清单包括但不限于以下内容：</w:t>
      </w:r>
    </w:p>
    <w:tbl>
      <w:tblPr>
        <w:tblStyle w:val="21"/>
        <w:tblW w:w="9185" w:type="dxa"/>
        <w:jc w:val="center"/>
        <w:tblInd w:w="-5" w:type="dxa"/>
        <w:tblLayout w:type="fixed"/>
        <w:tblCellMar>
          <w:top w:w="0" w:type="dxa"/>
          <w:left w:w="108" w:type="dxa"/>
          <w:bottom w:w="0" w:type="dxa"/>
          <w:right w:w="108" w:type="dxa"/>
        </w:tblCellMar>
      </w:tblPr>
      <w:tblGrid>
        <w:gridCol w:w="851"/>
        <w:gridCol w:w="2128"/>
        <w:gridCol w:w="6206"/>
      </w:tblGrid>
      <w:tr>
        <w:tblPrEx>
          <w:tblLayout w:type="fixed"/>
          <w:tblCellMar>
            <w:top w:w="0" w:type="dxa"/>
            <w:left w:w="108" w:type="dxa"/>
            <w:bottom w:w="0" w:type="dxa"/>
            <w:right w:w="108" w:type="dxa"/>
          </w:tblCellMar>
        </w:tblPrEx>
        <w:trPr>
          <w:trHeight w:val="270" w:hRule="atLeast"/>
          <w:jc w:val="center"/>
        </w:trPr>
        <w:tc>
          <w:tcPr>
            <w:tcW w:w="851" w:type="dxa"/>
            <w:tcBorders>
              <w:top w:val="single" w:color="auto" w:sz="4" w:space="0"/>
              <w:left w:val="single" w:color="auto" w:sz="4" w:space="0"/>
              <w:right w:val="single" w:color="auto" w:sz="4" w:space="0"/>
            </w:tcBorders>
            <w:shd w:val="clear" w:color="auto" w:fill="D9D9D9"/>
            <w:vAlign w:val="center"/>
          </w:tcPr>
          <w:p>
            <w:pPr>
              <w:jc w:val="center"/>
              <w:rPr>
                <w:rFonts w:ascii="宋体" w:hAnsi="宋体" w:cs="宋体"/>
                <w:b/>
                <w:color w:val="000000"/>
                <w:szCs w:val="21"/>
                <w:highlight w:val="none"/>
              </w:rPr>
            </w:pPr>
            <w:r>
              <w:rPr>
                <w:rFonts w:hint="eastAsia" w:ascii="宋体" w:hAnsi="宋体" w:cs="宋体"/>
                <w:b/>
                <w:color w:val="000000"/>
                <w:szCs w:val="21"/>
                <w:highlight w:val="none"/>
              </w:rPr>
              <w:t>编号</w:t>
            </w:r>
          </w:p>
        </w:tc>
        <w:tc>
          <w:tcPr>
            <w:tcW w:w="2128" w:type="dxa"/>
            <w:tcBorders>
              <w:top w:val="single" w:color="auto" w:sz="4" w:space="0"/>
              <w:left w:val="single" w:color="auto" w:sz="4" w:space="0"/>
              <w:bottom w:val="single" w:color="auto" w:sz="4" w:space="0"/>
              <w:right w:val="single" w:color="auto" w:sz="4" w:space="0"/>
            </w:tcBorders>
            <w:shd w:val="clear" w:color="auto" w:fill="D9D9D9"/>
            <w:vAlign w:val="center"/>
          </w:tcPr>
          <w:p>
            <w:pPr>
              <w:rPr>
                <w:rFonts w:ascii="宋体" w:hAnsi="宋体" w:cs="宋体"/>
                <w:b/>
                <w:color w:val="000000"/>
                <w:szCs w:val="21"/>
                <w:highlight w:val="none"/>
              </w:rPr>
            </w:pPr>
            <w:r>
              <w:rPr>
                <w:rFonts w:hint="eastAsia" w:ascii="宋体" w:hAnsi="宋体" w:cs="宋体"/>
                <w:b/>
                <w:color w:val="000000"/>
                <w:szCs w:val="21"/>
                <w:highlight w:val="none"/>
              </w:rPr>
              <w:t>类别</w:t>
            </w:r>
          </w:p>
        </w:tc>
        <w:tc>
          <w:tcPr>
            <w:tcW w:w="6206" w:type="dxa"/>
            <w:tcBorders>
              <w:top w:val="single" w:color="auto" w:sz="4" w:space="0"/>
              <w:left w:val="nil"/>
              <w:bottom w:val="single" w:color="auto" w:sz="4" w:space="0"/>
              <w:right w:val="single" w:color="auto" w:sz="4" w:space="0"/>
            </w:tcBorders>
            <w:shd w:val="clear" w:color="auto" w:fill="D9D9D9"/>
            <w:vAlign w:val="center"/>
          </w:tcPr>
          <w:p>
            <w:pPr>
              <w:rPr>
                <w:rFonts w:ascii="宋体" w:hAnsi="宋体" w:cs="宋体"/>
                <w:b/>
                <w:color w:val="000000"/>
                <w:szCs w:val="21"/>
                <w:highlight w:val="none"/>
              </w:rPr>
            </w:pPr>
            <w:r>
              <w:rPr>
                <w:rFonts w:hint="eastAsia" w:ascii="宋体" w:hAnsi="宋体" w:cs="宋体"/>
                <w:b/>
                <w:color w:val="000000"/>
                <w:szCs w:val="21"/>
                <w:highlight w:val="none"/>
              </w:rPr>
              <w:t>交付物</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1</w:t>
            </w:r>
          </w:p>
        </w:tc>
        <w:tc>
          <w:tcPr>
            <w:tcW w:w="2128"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项目管理办法</w:t>
            </w:r>
          </w:p>
        </w:tc>
        <w:tc>
          <w:tcPr>
            <w:tcW w:w="6206" w:type="dxa"/>
            <w:tcBorders>
              <w:top w:val="single" w:color="auto" w:sz="4" w:space="0"/>
              <w:left w:val="nil"/>
              <w:bottom w:val="single" w:color="auto" w:sz="4" w:space="0"/>
              <w:right w:val="single" w:color="auto" w:sz="4" w:space="0"/>
            </w:tcBorders>
            <w:vAlign w:val="center"/>
          </w:tcPr>
          <w:p>
            <w:pPr>
              <w:ind w:right="4" w:rightChars="2" w:firstLine="23" w:firstLineChars="11"/>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项目管理章程</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single" w:color="auto" w:sz="4" w:space="0"/>
              <w:left w:val="nil"/>
              <w:bottom w:val="single" w:color="auto" w:sz="4" w:space="0"/>
              <w:right w:val="single" w:color="auto" w:sz="4" w:space="0"/>
            </w:tcBorders>
            <w:vAlign w:val="center"/>
          </w:tcPr>
          <w:p>
            <w:pPr>
              <w:ind w:right="4" w:rightChars="2" w:firstLine="23" w:firstLineChars="11"/>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项目组织架构及职责</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single" w:color="auto" w:sz="4" w:space="0"/>
              <w:left w:val="nil"/>
              <w:bottom w:val="single" w:color="auto" w:sz="4" w:space="0"/>
              <w:right w:val="single" w:color="auto" w:sz="4" w:space="0"/>
            </w:tcBorders>
            <w:vAlign w:val="center"/>
          </w:tcPr>
          <w:p>
            <w:pPr>
              <w:ind w:right="4" w:rightChars="2" w:firstLine="23" w:firstLineChars="11"/>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项目群管理体系（包含主体项目群管理章程、各阶段规程文件、流程图、操作指南、模板与表格等）</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single" w:color="auto" w:sz="4" w:space="0"/>
              <w:left w:val="nil"/>
              <w:bottom w:val="single" w:color="auto" w:sz="4" w:space="0"/>
              <w:right w:val="single" w:color="auto" w:sz="4" w:space="0"/>
            </w:tcBorders>
            <w:vAlign w:val="center"/>
          </w:tcPr>
          <w:p>
            <w:pPr>
              <w:ind w:right="4" w:rightChars="2" w:firstLine="23" w:firstLineChars="11"/>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项目文档管理规范</w:t>
            </w:r>
          </w:p>
        </w:tc>
      </w:tr>
      <w:tr>
        <w:tblPrEx>
          <w:tblLayout w:type="fixed"/>
          <w:tblCellMar>
            <w:top w:w="0" w:type="dxa"/>
            <w:left w:w="108" w:type="dxa"/>
            <w:bottom w:w="0" w:type="dxa"/>
            <w:right w:w="108" w:type="dxa"/>
          </w:tblCellMar>
        </w:tblPrEx>
        <w:trPr>
          <w:trHeight w:val="27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2</w:t>
            </w:r>
          </w:p>
        </w:tc>
        <w:tc>
          <w:tcPr>
            <w:tcW w:w="2128"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项目资源管理</w:t>
            </w:r>
          </w:p>
        </w:tc>
        <w:tc>
          <w:tcPr>
            <w:tcW w:w="6206" w:type="dxa"/>
            <w:tcBorders>
              <w:top w:val="single" w:color="auto" w:sz="4" w:space="0"/>
              <w:left w:val="nil"/>
              <w:bottom w:val="single" w:color="auto" w:sz="4" w:space="0"/>
              <w:right w:val="single" w:color="auto" w:sz="4" w:space="0"/>
            </w:tcBorders>
            <w:vAlign w:val="center"/>
          </w:tcPr>
          <w:p>
            <w:pPr>
              <w:ind w:right="4" w:rightChars="2" w:firstLine="23" w:firstLineChars="11"/>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 xml:space="preserve">人员、物资等 </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single" w:color="auto" w:sz="4" w:space="0"/>
              <w:left w:val="single" w:color="auto" w:sz="4" w:space="0"/>
              <w:bottom w:val="nil"/>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3</w:t>
            </w:r>
          </w:p>
        </w:tc>
        <w:tc>
          <w:tcPr>
            <w:tcW w:w="2128" w:type="dxa"/>
            <w:vMerge w:val="restart"/>
            <w:tcBorders>
              <w:top w:val="single" w:color="auto" w:sz="4" w:space="0"/>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计划与进度管理</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项目范围</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nil"/>
              <w:left w:val="single" w:color="auto" w:sz="4" w:space="0"/>
              <w:bottom w:val="nil"/>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项目主计划</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nil"/>
              <w:left w:val="single" w:color="auto" w:sz="4" w:space="0"/>
              <w:bottom w:val="nil"/>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各组工作计划</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nil"/>
              <w:left w:val="single" w:color="auto" w:sz="4" w:space="0"/>
              <w:bottom w:val="nil"/>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项目进度报告</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4</w:t>
            </w:r>
          </w:p>
        </w:tc>
        <w:tc>
          <w:tcPr>
            <w:tcW w:w="2128" w:type="dxa"/>
            <w:vMerge w:val="restart"/>
            <w:tcBorders>
              <w:top w:val="single" w:color="auto" w:sz="4" w:space="0"/>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项目质量管理</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项目阶段交付物评审</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项目执行质量审核报告</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项目问题及风险提示报告</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工作事项跟踪表</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项目度量报告</w:t>
            </w:r>
          </w:p>
        </w:tc>
      </w:tr>
      <w:tr>
        <w:tblPrEx>
          <w:tblLayout w:type="fixed"/>
          <w:tblCellMar>
            <w:top w:w="0" w:type="dxa"/>
            <w:left w:w="108" w:type="dxa"/>
            <w:bottom w:w="0" w:type="dxa"/>
            <w:right w:w="108" w:type="dxa"/>
          </w:tblCellMar>
        </w:tblPrEx>
        <w:trPr>
          <w:trHeight w:val="433" w:hRule="atLeast"/>
          <w:jc w:val="center"/>
        </w:trPr>
        <w:tc>
          <w:tcPr>
            <w:tcW w:w="851" w:type="dxa"/>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5</w:t>
            </w:r>
          </w:p>
        </w:tc>
        <w:tc>
          <w:tcPr>
            <w:tcW w:w="2128" w:type="dxa"/>
            <w:vMerge w:val="restart"/>
            <w:tcBorders>
              <w:top w:val="single" w:color="auto" w:sz="4" w:space="0"/>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沟通与问题管理</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项目沟通机制和管理办法</w:t>
            </w:r>
          </w:p>
        </w:tc>
      </w:tr>
      <w:tr>
        <w:tblPrEx>
          <w:tblLayout w:type="fixed"/>
          <w:tblCellMar>
            <w:top w:w="0" w:type="dxa"/>
            <w:left w:w="108" w:type="dxa"/>
            <w:bottom w:w="0" w:type="dxa"/>
            <w:right w:w="108" w:type="dxa"/>
          </w:tblCellMar>
        </w:tblPrEx>
        <w:trPr>
          <w:trHeight w:val="425"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项目管理办公室及项目领导小组会议材料（月度会议）</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项目周例会材料</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各组工作周报</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会议纪要</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6</w:t>
            </w:r>
          </w:p>
        </w:tc>
        <w:tc>
          <w:tcPr>
            <w:tcW w:w="2128" w:type="dxa"/>
            <w:vMerge w:val="restart"/>
            <w:tcBorders>
              <w:top w:val="single" w:color="auto" w:sz="4" w:space="0"/>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需求与变更管理</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需求管理办法</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业务需求规格说明书模板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业务需求差异模板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需求评审模板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需求变更清单</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nil"/>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top w:val="nil"/>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需求变更申请书</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top w:val="nil"/>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2128" w:type="dxa"/>
            <w:vMerge w:val="continue"/>
            <w:tcBorders>
              <w:top w:val="nil"/>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需求变更书</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nil"/>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7</w:t>
            </w:r>
          </w:p>
        </w:tc>
        <w:tc>
          <w:tcPr>
            <w:tcW w:w="2128" w:type="dxa"/>
            <w:vMerge w:val="restart"/>
            <w:tcBorders>
              <w:top w:val="nil"/>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系统设计</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szCs w:val="21"/>
                <w:highlight w:val="none"/>
              </w:rPr>
              <w:t>系统架构设计模板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szCs w:val="21"/>
                <w:highlight w:val="none"/>
              </w:rPr>
              <w:t>数据架构设计模板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szCs w:val="21"/>
                <w:highlight w:val="none"/>
              </w:rPr>
              <w:t>系统概要设计模板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szCs w:val="21"/>
                <w:highlight w:val="none"/>
              </w:rPr>
              <w:t>模块详细设计模板</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部署设计模板</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nil"/>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8</w:t>
            </w:r>
          </w:p>
        </w:tc>
        <w:tc>
          <w:tcPr>
            <w:tcW w:w="2128" w:type="dxa"/>
            <w:vMerge w:val="restart"/>
            <w:tcBorders>
              <w:top w:val="nil"/>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测试与缺陷管理</w:t>
            </w: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总体测试方案及计划</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bottom w:val="single" w:color="000000"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bottom w:val="single" w:color="000000"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缺陷跟踪报告</w:t>
            </w:r>
          </w:p>
        </w:tc>
      </w:tr>
      <w:tr>
        <w:tblPrEx>
          <w:tblLayout w:type="fixed"/>
          <w:tblCellMar>
            <w:top w:w="0" w:type="dxa"/>
            <w:left w:w="108" w:type="dxa"/>
            <w:bottom w:w="0" w:type="dxa"/>
            <w:right w:w="108" w:type="dxa"/>
          </w:tblCellMar>
        </w:tblPrEx>
        <w:trPr>
          <w:trHeight w:val="270" w:hRule="atLeast"/>
          <w:jc w:val="center"/>
        </w:trPr>
        <w:tc>
          <w:tcPr>
            <w:tcW w:w="851" w:type="dxa"/>
            <w:tcBorders>
              <w:top w:val="nil"/>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tcBorders>
              <w:top w:val="nil"/>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信贷项目群上线工作方案</w:t>
            </w:r>
          </w:p>
        </w:tc>
      </w:tr>
      <w:tr>
        <w:tblPrEx>
          <w:tblLayout w:type="fixed"/>
          <w:tblCellMar>
            <w:top w:w="0" w:type="dxa"/>
            <w:left w:w="108" w:type="dxa"/>
            <w:bottom w:w="0" w:type="dxa"/>
            <w:right w:w="108" w:type="dxa"/>
          </w:tblCellMar>
        </w:tblPrEx>
        <w:trPr>
          <w:trHeight w:val="270" w:hRule="atLeast"/>
          <w:jc w:val="center"/>
        </w:trPr>
        <w:tc>
          <w:tcPr>
            <w:tcW w:w="851" w:type="dxa"/>
            <w:vMerge w:val="restart"/>
            <w:tcBorders>
              <w:top w:val="nil"/>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9</w:t>
            </w:r>
          </w:p>
          <w:p>
            <w:pPr>
              <w:jc w:val="center"/>
              <w:rPr>
                <w:rFonts w:ascii="仿宋_GB2312" w:hAnsi="仿宋_GB2312" w:eastAsia="仿宋_GB2312" w:cs="仿宋_GB2312"/>
                <w:color w:val="000000"/>
                <w:szCs w:val="21"/>
                <w:highlight w:val="none"/>
              </w:rPr>
            </w:pPr>
          </w:p>
        </w:tc>
        <w:tc>
          <w:tcPr>
            <w:tcW w:w="2128" w:type="dxa"/>
            <w:vMerge w:val="restart"/>
            <w:tcBorders>
              <w:top w:val="nil"/>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验收与上线管理</w:t>
            </w:r>
          </w:p>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项目验收评审表</w:t>
            </w:r>
          </w:p>
        </w:tc>
      </w:tr>
      <w:tr>
        <w:tblPrEx>
          <w:tblLayout w:type="fixed"/>
          <w:tblCellMar>
            <w:top w:w="0" w:type="dxa"/>
            <w:left w:w="108" w:type="dxa"/>
            <w:bottom w:w="0" w:type="dxa"/>
            <w:right w:w="108" w:type="dxa"/>
          </w:tblCellMar>
        </w:tblPrEx>
        <w:trPr>
          <w:trHeight w:val="270" w:hRule="atLeast"/>
          <w:jc w:val="center"/>
        </w:trPr>
        <w:tc>
          <w:tcPr>
            <w:tcW w:w="851" w:type="dxa"/>
            <w:vMerge w:val="continue"/>
            <w:tcBorders>
              <w:left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业务连续性方案</w:t>
            </w:r>
          </w:p>
        </w:tc>
      </w:tr>
      <w:tr>
        <w:tblPrEx>
          <w:tblLayout w:type="fixed"/>
          <w:tblCellMar>
            <w:top w:w="0" w:type="dxa"/>
            <w:left w:w="108" w:type="dxa"/>
            <w:bottom w:w="0" w:type="dxa"/>
            <w:right w:w="108" w:type="dxa"/>
          </w:tblCellMar>
        </w:tblPrEx>
        <w:trPr>
          <w:trHeight w:val="70" w:hRule="atLeast"/>
          <w:jc w:val="center"/>
        </w:trPr>
        <w:tc>
          <w:tcPr>
            <w:tcW w:w="851" w:type="dxa"/>
            <w:vMerge w:val="continue"/>
            <w:tcBorders>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color w:val="000000"/>
                <w:szCs w:val="21"/>
                <w:highlight w:val="none"/>
              </w:rPr>
            </w:pPr>
          </w:p>
        </w:tc>
        <w:tc>
          <w:tcPr>
            <w:tcW w:w="2128" w:type="dxa"/>
            <w:vMerge w:val="continue"/>
            <w:tcBorders>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szCs w:val="21"/>
                <w:highlight w:val="none"/>
              </w:rPr>
            </w:pPr>
          </w:p>
        </w:tc>
        <w:tc>
          <w:tcPr>
            <w:tcW w:w="6206" w:type="dxa"/>
            <w:tcBorders>
              <w:top w:val="nil"/>
              <w:left w:val="nil"/>
              <w:bottom w:val="single" w:color="auto" w:sz="4" w:space="0"/>
              <w:right w:val="single" w:color="auto" w:sz="4" w:space="0"/>
            </w:tcBorders>
            <w:vAlign w:val="center"/>
          </w:tcPr>
          <w:p>
            <w:pPr>
              <w:ind w:right="4" w:rightChars="2"/>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szCs w:val="21"/>
                <w:highlight w:val="none"/>
              </w:rPr>
              <w:t>上线问题管理</w:t>
            </w:r>
          </w:p>
        </w:tc>
      </w:tr>
    </w:tbl>
    <w:p>
      <w:pPr>
        <w:spacing w:line="560" w:lineRule="exact"/>
        <w:rPr>
          <w:rFonts w:ascii="仿宋_GB2312" w:hAnsi="仿宋_GB2312" w:eastAsia="仿宋_GB2312" w:cs="仿宋_GB2312"/>
          <w:sz w:val="28"/>
          <w:szCs w:val="28"/>
          <w:highlight w:val="none"/>
        </w:rPr>
      </w:pPr>
    </w:p>
    <w:bookmarkEnd w:id="16"/>
    <w:p>
      <w:pPr>
        <w:numPr>
          <w:ilvl w:val="0"/>
          <w:numId w:val="0"/>
        </w:numPr>
        <w:spacing w:line="560" w:lineRule="exact"/>
        <w:ind w:leftChars="0"/>
        <w:outlineLvl w:val="0"/>
        <w:rPr>
          <w:rFonts w:ascii="仿宋_GB2312" w:hAnsi="仿宋_GB2312" w:eastAsia="仿宋_GB2312" w:cs="仿宋_GB2312"/>
          <w:b/>
          <w:bCs/>
          <w:sz w:val="28"/>
          <w:szCs w:val="28"/>
          <w:highlight w:val="none"/>
        </w:rPr>
      </w:pPr>
      <w:bookmarkStart w:id="46" w:name="_Toc32262"/>
      <w:bookmarkStart w:id="47" w:name="_Toc8004"/>
      <w:bookmarkStart w:id="48" w:name="_Toc18851"/>
      <w:bookmarkStart w:id="49" w:name="_Toc499467742"/>
      <w:r>
        <w:rPr>
          <w:rFonts w:hint="eastAsia" w:ascii="仿宋_GB2312" w:hAnsi="仿宋_GB2312" w:eastAsia="仿宋_GB2312" w:cs="仿宋_GB2312"/>
          <w:b/>
          <w:bCs/>
          <w:sz w:val="28"/>
          <w:szCs w:val="28"/>
          <w:highlight w:val="none"/>
          <w:lang w:val="en-US" w:eastAsia="zh-CN"/>
        </w:rPr>
        <w:t>20.6</w:t>
      </w:r>
      <w:r>
        <w:rPr>
          <w:rFonts w:hint="eastAsia" w:ascii="仿宋_GB2312" w:hAnsi="仿宋_GB2312" w:eastAsia="仿宋_GB2312" w:cs="仿宋_GB2312"/>
          <w:b/>
          <w:bCs/>
          <w:sz w:val="28"/>
          <w:szCs w:val="28"/>
          <w:highlight w:val="none"/>
        </w:rPr>
        <w:t>项目总体实施要求</w:t>
      </w:r>
      <w:bookmarkEnd w:id="46"/>
      <w:bookmarkEnd w:id="47"/>
      <w:bookmarkEnd w:id="48"/>
    </w:p>
    <w:p>
      <w:pPr>
        <w:pStyle w:val="5"/>
        <w:widowControl/>
        <w:numPr>
          <w:ilvl w:val="0"/>
          <w:numId w:val="11"/>
        </w:numPr>
        <w:tabs>
          <w:tab w:val="left" w:pos="851"/>
          <w:tab w:val="left" w:pos="1021"/>
          <w:tab w:val="left" w:pos="1506"/>
        </w:tabs>
        <w:spacing w:line="560" w:lineRule="exact"/>
        <w:ind w:left="840" w:leftChars="0" w:firstLineChars="0"/>
        <w:jc w:val="both"/>
        <w:rPr>
          <w:rFonts w:ascii="仿宋_GB2312" w:hAnsi="仿宋_GB2312" w:eastAsia="仿宋_GB2312" w:cs="仿宋_GB2312"/>
          <w:sz w:val="28"/>
          <w:szCs w:val="28"/>
          <w:highlight w:val="none"/>
        </w:rPr>
      </w:pPr>
      <w:bookmarkStart w:id="50" w:name="_Toc26092"/>
      <w:bookmarkStart w:id="51" w:name="_Toc515458142"/>
      <w:r>
        <w:rPr>
          <w:rFonts w:hint="eastAsia" w:ascii="仿宋_GB2312" w:hAnsi="仿宋_GB2312" w:eastAsia="仿宋_GB2312" w:cs="仿宋_GB2312"/>
          <w:sz w:val="28"/>
          <w:szCs w:val="28"/>
          <w:highlight w:val="none"/>
        </w:rPr>
        <w:t>实施方案要求</w:t>
      </w:r>
      <w:bookmarkEnd w:id="50"/>
      <w:bookmarkEnd w:id="51"/>
    </w:p>
    <w:p>
      <w:pPr>
        <w:spacing w:line="560" w:lineRule="exact"/>
        <w:ind w:firstLine="42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供应商</w:t>
      </w:r>
      <w:r>
        <w:rPr>
          <w:rFonts w:hint="eastAsia" w:ascii="仿宋_GB2312" w:hAnsi="仿宋_GB2312" w:eastAsia="仿宋_GB2312" w:cs="仿宋_GB2312"/>
          <w:sz w:val="28"/>
          <w:szCs w:val="28"/>
          <w:highlight w:val="none"/>
        </w:rPr>
        <w:t>按照信贷系统项目周期，提供一份完整的项目实施方案，以满足信贷及相关系统的建设要求，包含以下内容：</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阐述本项目的项目管理和进度管理方法。对项目建设的全生命周期进行科学、有效的管理。制定完善的例会制度，包括周例会、月例会、阶段性评审会等。阐述本项目的风险管理方法，包括风险识别、规避、应对策略等。阐述本项目的质量管理方法和实施策略等。</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制定合理的实施计划，配备经验丰富的项目团队，按项目进度的时序图制定相应的人力资源计划。</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rPr>
        <w:t>项目各阶段涉及的各类产出物或交付物的知识产权均属于</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须提供全部说明文档，进行无保留的知识转移。</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提供项目组织架构方案，提出科技和业务人员的要求，阐述各方职责与关系。</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提供本项目对</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参与人员要求，包括类别（业务、技术）、数量、技能、工作职责等。</w:t>
      </w:r>
    </w:p>
    <w:p>
      <w:pPr>
        <w:pStyle w:val="5"/>
        <w:widowControl/>
        <w:numPr>
          <w:ilvl w:val="0"/>
          <w:numId w:val="11"/>
        </w:numPr>
        <w:tabs>
          <w:tab w:val="left" w:pos="851"/>
          <w:tab w:val="left" w:pos="1021"/>
          <w:tab w:val="left" w:pos="1506"/>
        </w:tabs>
        <w:spacing w:line="560" w:lineRule="exact"/>
        <w:ind w:left="840" w:leftChars="0" w:firstLine="0" w:firstLineChars="0"/>
        <w:jc w:val="both"/>
        <w:rPr>
          <w:rFonts w:ascii="仿宋_GB2312" w:hAnsi="仿宋_GB2312" w:eastAsia="仿宋_GB2312" w:cs="仿宋_GB2312"/>
          <w:sz w:val="28"/>
          <w:szCs w:val="28"/>
          <w:highlight w:val="none"/>
        </w:rPr>
      </w:pPr>
      <w:bookmarkStart w:id="52" w:name="_Toc29094"/>
      <w:bookmarkStart w:id="53" w:name="_Toc407702290"/>
      <w:bookmarkStart w:id="54" w:name="_Toc412303455"/>
      <w:bookmarkStart w:id="55" w:name="_Toc515458143"/>
      <w:r>
        <w:rPr>
          <w:rFonts w:hint="eastAsia" w:ascii="仿宋_GB2312" w:hAnsi="仿宋_GB2312" w:eastAsia="仿宋_GB2312" w:cs="仿宋_GB2312"/>
          <w:sz w:val="28"/>
          <w:szCs w:val="28"/>
          <w:highlight w:val="none"/>
        </w:rPr>
        <w:t>实施计划要求</w:t>
      </w:r>
      <w:bookmarkEnd w:id="52"/>
      <w:bookmarkEnd w:id="53"/>
      <w:bookmarkEnd w:id="54"/>
      <w:bookmarkEnd w:id="55"/>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请</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在</w:t>
      </w:r>
      <w:r>
        <w:rPr>
          <w:rFonts w:hint="eastAsia" w:ascii="仿宋_GB2312" w:hAnsi="仿宋_GB2312" w:eastAsia="仿宋_GB2312" w:cs="仿宋_GB2312"/>
          <w:bCs/>
          <w:color w:val="000000"/>
          <w:sz w:val="28"/>
          <w:szCs w:val="28"/>
          <w:highlight w:val="none"/>
          <w:lang w:eastAsia="zh-CN"/>
        </w:rPr>
        <w:t>响应文件</w:t>
      </w:r>
      <w:r>
        <w:rPr>
          <w:rFonts w:hint="eastAsia" w:ascii="仿宋_GB2312" w:hAnsi="仿宋_GB2312" w:eastAsia="仿宋_GB2312" w:cs="仿宋_GB2312"/>
          <w:bCs/>
          <w:color w:val="000000"/>
          <w:sz w:val="28"/>
          <w:szCs w:val="28"/>
          <w:highlight w:val="none"/>
        </w:rPr>
        <w:t>中以2021年11月份为项目投产时间目标，制定相应的实施计划。</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项目群实施完成投产上线后，相关人员必须完成交接工作后才能离场。</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lang w:eastAsia="zh-CN"/>
        </w:rPr>
        <w:t>成交人</w:t>
      </w:r>
      <w:r>
        <w:rPr>
          <w:rFonts w:hint="eastAsia" w:ascii="仿宋_GB2312" w:hAnsi="仿宋_GB2312" w:eastAsia="仿宋_GB2312" w:cs="仿宋_GB2312"/>
          <w:bCs/>
          <w:color w:val="000000"/>
          <w:sz w:val="28"/>
          <w:szCs w:val="28"/>
          <w:highlight w:val="none"/>
        </w:rPr>
        <w:t>需提供一个月以上重保期(项目群投产后一个月)现场支持。</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4.</w:t>
      </w:r>
      <w:r>
        <w:rPr>
          <w:rFonts w:hint="eastAsia" w:ascii="仿宋_GB2312" w:hAnsi="仿宋_GB2312" w:eastAsia="仿宋_GB2312" w:cs="仿宋_GB2312"/>
          <w:bCs/>
          <w:color w:val="000000"/>
          <w:sz w:val="28"/>
          <w:szCs w:val="28"/>
          <w:highlight w:val="none"/>
        </w:rPr>
        <w:t>要求</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从公司内部定期监督项目进度，及时汇报项目风险，确保项目按计划完成。</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5.</w:t>
      </w:r>
      <w:r>
        <w:rPr>
          <w:rFonts w:hint="eastAsia" w:ascii="仿宋_GB2312" w:hAnsi="仿宋_GB2312" w:eastAsia="仿宋_GB2312" w:cs="仿宋_GB2312"/>
          <w:bCs/>
          <w:color w:val="000000"/>
          <w:sz w:val="28"/>
          <w:szCs w:val="28"/>
          <w:highlight w:val="none"/>
        </w:rPr>
        <w:t>非</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或其他第三方不可控因素，要求</w:t>
      </w:r>
      <w:r>
        <w:rPr>
          <w:rFonts w:hint="eastAsia" w:ascii="仿宋_GB2312" w:hAnsi="仿宋_GB2312" w:eastAsia="仿宋_GB2312" w:cs="仿宋_GB2312"/>
          <w:bCs/>
          <w:color w:val="000000"/>
          <w:sz w:val="28"/>
          <w:szCs w:val="28"/>
          <w:highlight w:val="none"/>
          <w:lang w:eastAsia="zh-CN"/>
        </w:rPr>
        <w:t>成交</w:t>
      </w:r>
      <w:r>
        <w:rPr>
          <w:rFonts w:hint="eastAsia" w:ascii="仿宋_GB2312" w:hAnsi="仿宋_GB2312" w:eastAsia="仿宋_GB2312" w:cs="仿宋_GB2312"/>
          <w:bCs/>
          <w:color w:val="000000"/>
          <w:sz w:val="28"/>
          <w:szCs w:val="28"/>
          <w:highlight w:val="none"/>
        </w:rPr>
        <w:t>人承诺对项目延期进行说明和赔偿。</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6.</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在实施计划中，充分考虑到各项工作并行，既要保证项目进度，又要保证项目质量。</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7.</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在实施计划中，明确标明里程碑，明确各阶段交付物。</w:t>
      </w:r>
    </w:p>
    <w:p>
      <w:pPr>
        <w:pStyle w:val="5"/>
        <w:widowControl/>
        <w:numPr>
          <w:ilvl w:val="0"/>
          <w:numId w:val="11"/>
        </w:numPr>
        <w:tabs>
          <w:tab w:val="left" w:pos="851"/>
          <w:tab w:val="left" w:pos="1021"/>
          <w:tab w:val="left" w:pos="1506"/>
        </w:tabs>
        <w:spacing w:line="560" w:lineRule="exact"/>
        <w:ind w:left="840" w:leftChars="0" w:firstLine="0" w:firstLineChars="0"/>
        <w:jc w:val="both"/>
        <w:rPr>
          <w:rFonts w:ascii="仿宋_GB2312" w:hAnsi="仿宋_GB2312" w:eastAsia="仿宋_GB2312" w:cs="仿宋_GB2312"/>
          <w:sz w:val="28"/>
          <w:szCs w:val="28"/>
          <w:highlight w:val="none"/>
        </w:rPr>
      </w:pPr>
      <w:bookmarkStart w:id="56" w:name="_Toc515458144"/>
      <w:r>
        <w:rPr>
          <w:rFonts w:hint="eastAsia" w:ascii="仿宋_GB2312" w:hAnsi="仿宋_GB2312" w:eastAsia="仿宋_GB2312" w:cs="仿宋_GB2312"/>
          <w:sz w:val="28"/>
          <w:szCs w:val="28"/>
          <w:highlight w:val="none"/>
        </w:rPr>
        <w:t>项目人员要求</w:t>
      </w:r>
      <w:bookmarkEnd w:id="56"/>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承诺在接到</w:t>
      </w:r>
      <w:r>
        <w:rPr>
          <w:rFonts w:hint="eastAsia" w:ascii="仿宋_GB2312" w:hAnsi="仿宋_GB2312" w:eastAsia="仿宋_GB2312" w:cs="仿宋_GB2312"/>
          <w:bCs/>
          <w:color w:val="000000"/>
          <w:sz w:val="28"/>
          <w:szCs w:val="28"/>
          <w:highlight w:val="none"/>
          <w:lang w:eastAsia="zh-CN"/>
        </w:rPr>
        <w:t>成交</w:t>
      </w:r>
      <w:r>
        <w:rPr>
          <w:rFonts w:hint="eastAsia" w:ascii="仿宋_GB2312" w:hAnsi="仿宋_GB2312" w:eastAsia="仿宋_GB2312" w:cs="仿宋_GB2312"/>
          <w:bCs/>
          <w:color w:val="000000"/>
          <w:sz w:val="28"/>
          <w:szCs w:val="28"/>
          <w:highlight w:val="none"/>
        </w:rPr>
        <w:t>通知后一周内组织项目人员入场。</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本项目要求现场实施团队人员有过银行信贷项目群管理经验，</w:t>
      </w:r>
      <w:r>
        <w:rPr>
          <w:rFonts w:hint="eastAsia" w:ascii="仿宋_GB2312" w:hAnsi="仿宋_GB2312" w:eastAsia="仿宋_GB2312" w:cs="仿宋_GB2312"/>
          <w:bCs/>
          <w:color w:val="000000"/>
          <w:sz w:val="28"/>
          <w:szCs w:val="28"/>
          <w:highlight w:val="none"/>
          <w:lang w:eastAsia="zh-CN"/>
        </w:rPr>
        <w:t>成交人</w:t>
      </w:r>
      <w:r>
        <w:rPr>
          <w:rFonts w:hint="eastAsia" w:ascii="仿宋_GB2312" w:hAnsi="仿宋_GB2312" w:eastAsia="仿宋_GB2312" w:cs="仿宋_GB2312"/>
          <w:bCs/>
          <w:color w:val="000000"/>
          <w:sz w:val="28"/>
          <w:szCs w:val="28"/>
          <w:highlight w:val="none"/>
        </w:rPr>
        <w:t>需提供参与本项目的人员名单和简历，提供成员具有的资质证书复印件，列出项目组织结构中每个成员在项目中的参与阶段、参与时间（人月）和从事的工作内容，并体现在</w:t>
      </w:r>
      <w:r>
        <w:rPr>
          <w:rFonts w:hint="eastAsia" w:ascii="仿宋_GB2312" w:hAnsi="仿宋_GB2312" w:eastAsia="仿宋_GB2312" w:cs="仿宋_GB2312"/>
          <w:bCs/>
          <w:color w:val="000000"/>
          <w:sz w:val="28"/>
          <w:szCs w:val="28"/>
          <w:highlight w:val="none"/>
          <w:lang w:eastAsia="zh-CN"/>
        </w:rPr>
        <w:t>响应文件</w:t>
      </w:r>
      <w:r>
        <w:rPr>
          <w:rFonts w:hint="eastAsia" w:ascii="仿宋_GB2312" w:hAnsi="仿宋_GB2312" w:eastAsia="仿宋_GB2312" w:cs="仿宋_GB2312"/>
          <w:bCs/>
          <w:color w:val="000000"/>
          <w:sz w:val="28"/>
          <w:szCs w:val="28"/>
          <w:highlight w:val="none"/>
        </w:rPr>
        <w:t>报价中。</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需书面承诺，未经</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同意，上述项目组织结构中的每个成员在项目实施过程中不得变动。</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3.</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的实施团队应具备以下资质：</w:t>
      </w:r>
    </w:p>
    <w:p>
      <w:pPr>
        <w:spacing w:line="560" w:lineRule="exact"/>
        <w:ind w:firstLine="562" w:firstLineChars="200"/>
        <w:rPr>
          <w:rFonts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rPr>
        <w:t>项目总监</w:t>
      </w:r>
      <w:r>
        <w:rPr>
          <w:rFonts w:hint="eastAsia" w:ascii="仿宋_GB2312" w:hAnsi="仿宋_GB2312" w:eastAsia="仿宋_GB2312" w:cs="仿宋_GB2312"/>
          <w:sz w:val="28"/>
          <w:szCs w:val="28"/>
          <w:highlight w:val="none"/>
        </w:rPr>
        <w:t>：负责项目总体方向把握，有能力与</w:t>
      </w:r>
      <w:r>
        <w:rPr>
          <w:rFonts w:hint="eastAsia" w:ascii="仿宋_GB2312" w:hAnsi="仿宋_GB2312" w:eastAsia="仿宋_GB2312" w:cs="仿宋_GB2312"/>
          <w:sz w:val="28"/>
          <w:szCs w:val="28"/>
          <w:highlight w:val="none"/>
          <w:lang w:eastAsia="zh-CN"/>
        </w:rPr>
        <w:t>采购方</w:t>
      </w:r>
      <w:r>
        <w:rPr>
          <w:rFonts w:hint="eastAsia" w:ascii="仿宋_GB2312" w:hAnsi="仿宋_GB2312" w:eastAsia="仿宋_GB2312" w:cs="仿宋_GB2312"/>
          <w:sz w:val="28"/>
          <w:szCs w:val="28"/>
          <w:highlight w:val="none"/>
        </w:rPr>
        <w:t>“行长级”、其他参与方高层沟通与协调，参与项目重大决策事项等。具有多家银行信贷系统建设及相关重大项目管理经验，15年以上银行项目建设与项目管理经验，具备丰富的业务与技术能力，理论基础雄厚，沟通能力强，具有较强的前瞻性和项目群管理能力。</w:t>
      </w:r>
    </w:p>
    <w:p>
      <w:pPr>
        <w:spacing w:line="560" w:lineRule="exact"/>
        <w:ind w:firstLine="562" w:firstLineChars="200"/>
        <w:rPr>
          <w:rFonts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rPr>
        <w:t>项目经理</w:t>
      </w:r>
      <w:r>
        <w:rPr>
          <w:rFonts w:hint="eastAsia" w:ascii="仿宋_GB2312" w:hAnsi="仿宋_GB2312" w:eastAsia="仿宋_GB2312" w:cs="仿宋_GB2312"/>
          <w:sz w:val="28"/>
          <w:szCs w:val="28"/>
          <w:highlight w:val="none"/>
        </w:rPr>
        <w:t>：负责本项目的计划、组织、实施、协调、人员配置并监督工作情况及进度等工作，负责各方的沟通联系，对项目领导组负责。项目经理要求具有10年以上银行IT系统建设相关经验，具有2个以上银行业信贷项目或同等级项目管理实施经验；具有业务场景分析、集成、实施项目的丰富经验和较强的沟通协调能力；具有预见和应对项目风险能力。具备丰富的沟通经验，可胜任与信贷系统建设项目相关总行“部门级”领导沟通的能力。具备项目管理能力资格认证之一。</w:t>
      </w:r>
    </w:p>
    <w:p>
      <w:pPr>
        <w:spacing w:line="560" w:lineRule="exac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b/>
          <w:bCs/>
          <w:sz w:val="28"/>
          <w:szCs w:val="28"/>
          <w:highlight w:val="none"/>
        </w:rPr>
        <w:t>项目群咨询专家顾问：</w:t>
      </w:r>
      <w:r>
        <w:rPr>
          <w:rFonts w:hint="eastAsia" w:ascii="仿宋_GB2312" w:hAnsi="仿宋_GB2312" w:eastAsia="仿宋_GB2312" w:cs="仿宋_GB2312"/>
          <w:sz w:val="28"/>
          <w:szCs w:val="28"/>
          <w:highlight w:val="none"/>
        </w:rPr>
        <w:t>负责本项目管理工作，重点包括质量管理、进度与计划跟踪、项目风险评估、参加项目管理会议等。顾问要求具备20年以上银行IT系统项目管理PMO及项目实施管理经验，具有较好的沟通能力、文笔能力。具备项目管理能力资格认证之一。</w:t>
      </w:r>
    </w:p>
    <w:p>
      <w:pPr>
        <w:spacing w:line="560" w:lineRule="exact"/>
        <w:ind w:firstLine="562" w:firstLineChars="200"/>
        <w:rPr>
          <w:rFonts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rPr>
        <w:t>其他人员：</w:t>
      </w:r>
      <w:r>
        <w:rPr>
          <w:rFonts w:hint="eastAsia" w:ascii="仿宋_GB2312" w:hAnsi="仿宋_GB2312" w:eastAsia="仿宋_GB2312" w:cs="仿宋_GB2312"/>
          <w:sz w:val="28"/>
          <w:szCs w:val="28"/>
          <w:highlight w:val="none"/>
        </w:rPr>
        <w:t>可包含项目管理、质量管理、技术管理等人员，以及数据架构、应用架构、技术架构，数据迁移、测试、上线及验收等方面专家，</w:t>
      </w:r>
      <w:r>
        <w:rPr>
          <w:rFonts w:hint="eastAsia" w:ascii="仿宋_GB2312" w:hAnsi="仿宋_GB2312" w:eastAsia="仿宋_GB2312" w:cs="仿宋_GB2312"/>
          <w:sz w:val="28"/>
          <w:szCs w:val="28"/>
          <w:highlight w:val="none"/>
          <w:lang w:eastAsia="zh-CN"/>
        </w:rPr>
        <w:t>供应商</w:t>
      </w:r>
      <w:r>
        <w:rPr>
          <w:rFonts w:hint="eastAsia" w:ascii="仿宋_GB2312" w:hAnsi="仿宋_GB2312" w:eastAsia="仿宋_GB2312" w:cs="仿宋_GB2312"/>
          <w:sz w:val="28"/>
          <w:szCs w:val="28"/>
          <w:highlight w:val="none"/>
        </w:rPr>
        <w:t>可根据对本项目的理解来派驻人员及数量。</w:t>
      </w:r>
    </w:p>
    <w:p>
      <w:pPr>
        <w:numPr>
          <w:ilvl w:val="0"/>
          <w:numId w:val="0"/>
        </w:numPr>
        <w:spacing w:line="560" w:lineRule="exact"/>
        <w:ind w:leftChars="0" w:firstLine="560" w:firstLineChars="200"/>
        <w:rPr>
          <w:rFonts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1.</w:t>
      </w:r>
      <w:r>
        <w:rPr>
          <w:rFonts w:hint="eastAsia" w:ascii="仿宋_GB2312" w:hAnsi="仿宋_GB2312" w:eastAsia="仿宋_GB2312" w:cs="仿宋_GB2312"/>
          <w:bCs/>
          <w:color w:val="000000"/>
          <w:sz w:val="28"/>
          <w:szCs w:val="28"/>
          <w:highlight w:val="none"/>
        </w:rPr>
        <w:t>项目期间，项目经理必须全程驻场、项目主要成员必须长驻项目现场，人员离场或替换需征得</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书面认可。项目组人员考勤同</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统一管理，非计划内的休假要提前两周通知。在项目实施过程中，</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有权要求对不符合项目建设要求的成员进行更换。</w:t>
      </w:r>
    </w:p>
    <w:p>
      <w:pPr>
        <w:numPr>
          <w:ilvl w:val="0"/>
          <w:numId w:val="0"/>
        </w:numPr>
        <w:spacing w:line="560" w:lineRule="exact"/>
        <w:ind w:leftChars="0" w:firstLine="560" w:firstLineChars="200"/>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w:t>
      </w:r>
      <w:r>
        <w:rPr>
          <w:rFonts w:hint="eastAsia" w:ascii="仿宋_GB2312" w:hAnsi="仿宋_GB2312" w:eastAsia="仿宋_GB2312" w:cs="仿宋_GB2312"/>
          <w:bCs/>
          <w:color w:val="000000"/>
          <w:sz w:val="28"/>
          <w:szCs w:val="28"/>
          <w:highlight w:val="none"/>
        </w:rPr>
        <w:t>在项目实施过程中，</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有权要求对不符合项目建设要求的成员进行更换。如项目关键阶段需要补充人员，</w:t>
      </w:r>
      <w:r>
        <w:rPr>
          <w:rFonts w:hint="eastAsia" w:ascii="仿宋_GB2312" w:hAnsi="仿宋_GB2312" w:eastAsia="仿宋_GB2312" w:cs="仿宋_GB2312"/>
          <w:bCs/>
          <w:color w:val="000000"/>
          <w:sz w:val="28"/>
          <w:szCs w:val="28"/>
          <w:highlight w:val="none"/>
          <w:lang w:eastAsia="zh-CN"/>
        </w:rPr>
        <w:t>成交</w:t>
      </w:r>
      <w:r>
        <w:rPr>
          <w:rFonts w:hint="eastAsia" w:ascii="仿宋_GB2312" w:hAnsi="仿宋_GB2312" w:eastAsia="仿宋_GB2312" w:cs="仿宋_GB2312"/>
          <w:bCs/>
          <w:color w:val="000000"/>
          <w:sz w:val="28"/>
          <w:szCs w:val="28"/>
          <w:highlight w:val="none"/>
        </w:rPr>
        <w:t>人必须及时保障人力资源补充，确保项目按计划交付。</w:t>
      </w:r>
    </w:p>
    <w:p>
      <w:pPr>
        <w:spacing w:line="360" w:lineRule="auto"/>
        <w:jc w:val="center"/>
        <w:rPr>
          <w:rFonts w:hint="eastAsia" w:ascii="仿宋_GB2312" w:hAnsi="仿宋_GB2312" w:eastAsia="仿宋_GB2312" w:cs="仿宋_GB2312"/>
          <w:b/>
          <w:bCs/>
          <w:sz w:val="32"/>
          <w:szCs w:val="32"/>
          <w:highlight w:val="none"/>
        </w:rPr>
      </w:pPr>
      <w:bookmarkStart w:id="57" w:name="_Toc515458146"/>
      <w:r>
        <w:rPr>
          <w:rFonts w:hint="eastAsia" w:ascii="仿宋_GB2312" w:hAnsi="仿宋_GB2312" w:eastAsia="仿宋_GB2312" w:cs="仿宋_GB2312"/>
          <w:b/>
          <w:bCs/>
          <w:sz w:val="32"/>
          <w:szCs w:val="32"/>
          <w:highlight w:val="none"/>
        </w:rPr>
        <w:t>（二）报价要求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2</w:t>
      </w:r>
      <w:r>
        <w:rPr>
          <w:rFonts w:hint="eastAsia" w:ascii="仿宋_GB2312" w:hAnsi="仿宋_GB2312" w:eastAsia="仿宋_GB2312" w:cs="仿宋_GB2312"/>
          <w:b/>
          <w:bCs/>
          <w:sz w:val="28"/>
          <w:szCs w:val="28"/>
          <w:highlight w:val="none"/>
          <w:lang w:val="en-US" w:eastAsia="zh-CN"/>
        </w:rPr>
        <w:t>1</w:t>
      </w:r>
      <w:r>
        <w:rPr>
          <w:rFonts w:hint="eastAsia" w:ascii="仿宋_GB2312" w:hAnsi="仿宋_GB2312" w:eastAsia="仿宋_GB2312" w:cs="仿宋_GB2312"/>
          <w:b/>
          <w:bCs/>
          <w:sz w:val="28"/>
          <w:szCs w:val="28"/>
          <w:highlight w:val="none"/>
        </w:rPr>
        <w:t>、报价要求</w:t>
      </w:r>
    </w:p>
    <w:p>
      <w:pPr>
        <w:pageBreakBefore w:val="0"/>
        <w:numPr>
          <w:ilvl w:val="0"/>
          <w:numId w:val="0"/>
        </w:numPr>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.1报价应为供应商为完成本项目采购，包括</w:t>
      </w:r>
      <w:r>
        <w:rPr>
          <w:rFonts w:hint="eastAsia" w:ascii="仿宋_GB2312" w:hAnsi="仿宋_GB2312" w:eastAsia="仿宋_GB2312" w:cs="仿宋_GB2312"/>
          <w:sz w:val="28"/>
          <w:szCs w:val="28"/>
          <w:highlight w:val="none"/>
          <w:lang w:eastAsia="zh-CN"/>
        </w:rPr>
        <w:t>相关软件、</w:t>
      </w:r>
      <w:r>
        <w:rPr>
          <w:rFonts w:hint="eastAsia" w:ascii="仿宋_GB2312" w:hAnsi="仿宋_GB2312" w:eastAsia="仿宋_GB2312" w:cs="仿宋_GB2312"/>
          <w:sz w:val="28"/>
          <w:szCs w:val="28"/>
          <w:highlight w:val="none"/>
        </w:rPr>
        <w:t>咨询服务价款（含税价）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培训辅导、售后服务费用、项目引起的差旅费用等，采购人不再另外支付其他任何费用。</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指定的远程参与人员不能计算在项目报价内，后台专家可阶段驻场的，可在项目中进行报价。</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highlight w:val="none"/>
        </w:rPr>
      </w:pP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highlight w:val="none"/>
          <w:lang w:val="zh-CN"/>
        </w:rPr>
      </w:pP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lang w:val="zh-CN"/>
        </w:rPr>
        <w:t>供应商项目经过采购人验收合格后开票须为增值税专用发票。</w:t>
      </w:r>
    </w:p>
    <w:p>
      <w:pPr>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highlight w:val="none"/>
          <w:lang w:val="zh-CN"/>
        </w:rPr>
      </w:pP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.3</w:t>
      </w:r>
      <w:r>
        <w:rPr>
          <w:rFonts w:hint="eastAsia" w:ascii="仿宋_GB2312" w:hAnsi="仿宋_GB2312" w:eastAsia="仿宋_GB2312" w:cs="仿宋_GB2312"/>
          <w:sz w:val="28"/>
          <w:szCs w:val="28"/>
          <w:highlight w:val="none"/>
          <w:lang w:val="zh-CN"/>
        </w:rPr>
        <w:t>如果供应商恶意报价且超出市场报价规律时，采购人</w:t>
      </w:r>
      <w:r>
        <w:rPr>
          <w:rFonts w:hint="eastAsia" w:ascii="仿宋_GB2312" w:hAnsi="仿宋_GB2312" w:eastAsia="仿宋_GB2312" w:cs="仿宋_GB2312"/>
          <w:sz w:val="28"/>
          <w:szCs w:val="28"/>
          <w:highlight w:val="none"/>
        </w:rPr>
        <w:t>有权作废本次竞争性磋商</w:t>
      </w:r>
      <w:r>
        <w:rPr>
          <w:rFonts w:hint="eastAsia" w:ascii="仿宋_GB2312" w:hAnsi="仿宋_GB2312" w:eastAsia="仿宋_GB2312" w:cs="仿宋_GB2312"/>
          <w:sz w:val="28"/>
          <w:szCs w:val="28"/>
          <w:highlight w:val="none"/>
          <w:lang w:val="zh-CN"/>
        </w:rPr>
        <w:t>。</w:t>
      </w:r>
    </w:p>
    <w:p>
      <w:pPr>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.4供应商对项目报总价。若供应商在磋商时提供的报价无法通过采购人认可，采购人将取消该供应商的磋商资格，对于不认可的原因采购人保留解释的权利。</w:t>
      </w:r>
    </w:p>
    <w:p>
      <w:pPr>
        <w:pStyle w:val="3"/>
        <w:pageBreakBefore w:val="0"/>
        <w:widowControl w:val="0"/>
        <w:kinsoku/>
        <w:wordWrap/>
        <w:overflowPunct/>
        <w:topLinePunct w:val="0"/>
        <w:autoSpaceDE/>
        <w:autoSpaceDN/>
        <w:bidi w:val="0"/>
        <w:spacing w:line="560" w:lineRule="exact"/>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b w:val="0"/>
          <w:sz w:val="28"/>
          <w:szCs w:val="28"/>
          <w:highlight w:val="none"/>
        </w:rPr>
        <w:t>2</w:t>
      </w:r>
      <w:r>
        <w:rPr>
          <w:rFonts w:hint="eastAsia" w:ascii="仿宋_GB2312" w:hAnsi="仿宋_GB2312" w:eastAsia="仿宋_GB2312" w:cs="仿宋_GB2312"/>
          <w:b w:val="0"/>
          <w:sz w:val="28"/>
          <w:szCs w:val="28"/>
          <w:highlight w:val="none"/>
          <w:lang w:val="en-US" w:eastAsia="zh-CN"/>
        </w:rPr>
        <w:t>1</w:t>
      </w:r>
      <w:r>
        <w:rPr>
          <w:rFonts w:hint="eastAsia" w:ascii="仿宋_GB2312" w:hAnsi="仿宋_GB2312" w:eastAsia="仿宋_GB2312" w:cs="仿宋_GB2312"/>
          <w:b w:val="0"/>
          <w:sz w:val="28"/>
          <w:szCs w:val="28"/>
          <w:highlight w:val="none"/>
        </w:rPr>
        <w:t>.5总报价不得超过采购人规定的最高限价。</w:t>
      </w:r>
    </w:p>
    <w:p>
      <w:pPr>
        <w:pStyle w:val="5"/>
        <w:pageBreakBefore w:val="0"/>
        <w:widowControl/>
        <w:numPr>
          <w:ilvl w:val="1"/>
          <w:numId w:val="0"/>
        </w:numPr>
        <w:tabs>
          <w:tab w:val="left" w:pos="851"/>
          <w:tab w:val="left" w:pos="1021"/>
          <w:tab w:val="left" w:pos="1506"/>
        </w:tabs>
        <w:kinsoku/>
        <w:wordWrap/>
        <w:overflowPunct/>
        <w:topLinePunct w:val="0"/>
        <w:autoSpaceDE/>
        <w:autoSpaceDN/>
        <w:bidi w:val="0"/>
        <w:spacing w:line="560" w:lineRule="exact"/>
        <w:ind w:left="840" w:leftChars="0" w:firstLine="2530" w:firstLineChars="9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（三）</w:t>
      </w:r>
      <w:r>
        <w:rPr>
          <w:rFonts w:hint="eastAsia" w:ascii="仿宋_GB2312" w:hAnsi="仿宋_GB2312" w:eastAsia="仿宋_GB2312" w:cs="仿宋_GB2312"/>
          <w:sz w:val="28"/>
          <w:szCs w:val="28"/>
          <w:highlight w:val="none"/>
        </w:rPr>
        <w:t>实施及售后服务要求</w:t>
      </w:r>
      <w:bookmarkEnd w:id="57"/>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lang w:val="en-US" w:eastAsia="zh-CN"/>
        </w:rPr>
      </w:pPr>
      <w:r>
        <w:rPr>
          <w:rFonts w:hint="eastAsia" w:ascii="仿宋_GB2312" w:hAnsi="仿宋_GB2312" w:eastAsia="仿宋_GB2312" w:cs="仿宋_GB2312"/>
          <w:b/>
          <w:bCs/>
          <w:sz w:val="28"/>
          <w:szCs w:val="28"/>
          <w:highlight w:val="none"/>
        </w:rPr>
        <w:t>2</w:t>
      </w:r>
      <w:r>
        <w:rPr>
          <w:rFonts w:hint="eastAsia" w:ascii="仿宋_GB2312" w:hAnsi="仿宋_GB2312" w:eastAsia="仿宋_GB2312" w:cs="仿宋_GB2312"/>
          <w:b/>
          <w:bCs/>
          <w:sz w:val="28"/>
          <w:szCs w:val="28"/>
          <w:highlight w:val="none"/>
          <w:lang w:val="en-US" w:eastAsia="zh-CN"/>
        </w:rPr>
        <w:t>2</w:t>
      </w:r>
      <w:r>
        <w:rPr>
          <w:rFonts w:hint="eastAsia" w:ascii="仿宋_GB2312" w:hAnsi="仿宋_GB2312" w:eastAsia="仿宋_GB2312" w:cs="仿宋_GB2312"/>
          <w:b/>
          <w:bCs/>
          <w:sz w:val="28"/>
          <w:szCs w:val="28"/>
          <w:highlight w:val="none"/>
        </w:rPr>
        <w:t>、实施及质量保证</w:t>
      </w:r>
    </w:p>
    <w:p>
      <w:pPr>
        <w:pageBreakBefore w:val="0"/>
        <w:numPr>
          <w:ilvl w:val="0"/>
          <w:numId w:val="0"/>
        </w:numPr>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22.1</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承诺在项目各阶段涉及的各类产出物或交付物的知识产权均属于</w:t>
      </w:r>
      <w:r>
        <w:rPr>
          <w:rFonts w:hint="eastAsia" w:ascii="仿宋_GB2312" w:hAnsi="仿宋_GB2312" w:eastAsia="仿宋_GB2312" w:cs="仿宋_GB2312"/>
          <w:bCs/>
          <w:color w:val="000000"/>
          <w:sz w:val="28"/>
          <w:szCs w:val="28"/>
          <w:highlight w:val="none"/>
          <w:lang w:eastAsia="zh-CN"/>
        </w:rPr>
        <w:t>采购方</w:t>
      </w:r>
      <w:r>
        <w:rPr>
          <w:rFonts w:hint="eastAsia" w:ascii="仿宋_GB2312" w:hAnsi="仿宋_GB2312" w:eastAsia="仿宋_GB2312" w:cs="仿宋_GB2312"/>
          <w:bCs/>
          <w:color w:val="000000"/>
          <w:sz w:val="28"/>
          <w:szCs w:val="28"/>
          <w:highlight w:val="none"/>
        </w:rPr>
        <w:t>，</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须提供全部说明文档，进行无保留的知识转移及相关培训。</w:t>
      </w:r>
    </w:p>
    <w:p>
      <w:pPr>
        <w:pageBreakBefore w:val="0"/>
        <w:numPr>
          <w:ilvl w:val="0"/>
          <w:numId w:val="0"/>
        </w:numPr>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22.2</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承诺在签署合同价格中允许有相当于合同项目总工作量10%的新增或变动需求。在此范围内的服务费用全部由</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承担。</w:t>
      </w:r>
    </w:p>
    <w:p>
      <w:pPr>
        <w:pageBreakBefore w:val="0"/>
        <w:numPr>
          <w:ilvl w:val="0"/>
          <w:numId w:val="0"/>
        </w:numPr>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22.3</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承诺在保质期内（项目群内各项实施项目完成后一年内），</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应免费提供咨询修正及因需求变更等原因引起的咨询调整。</w:t>
      </w:r>
    </w:p>
    <w:p>
      <w:pPr>
        <w:pageBreakBefore w:val="0"/>
        <w:numPr>
          <w:ilvl w:val="0"/>
          <w:numId w:val="0"/>
        </w:numPr>
        <w:kinsoku/>
        <w:wordWrap/>
        <w:overflowPunct/>
        <w:topLinePunct w:val="0"/>
        <w:autoSpaceDE/>
        <w:autoSpaceDN/>
        <w:bidi w:val="0"/>
        <w:spacing w:line="560" w:lineRule="exact"/>
        <w:textAlignment w:val="auto"/>
        <w:rPr>
          <w:rFonts w:hint="eastAsia" w:ascii="仿宋_GB2312" w:hAnsi="仿宋_GB2312" w:eastAsia="仿宋_GB2312" w:cs="仿宋_GB2312"/>
          <w:bCs/>
          <w:color w:val="000000"/>
          <w:sz w:val="28"/>
          <w:szCs w:val="28"/>
          <w:highlight w:val="none"/>
        </w:rPr>
      </w:pPr>
      <w:r>
        <w:rPr>
          <w:rFonts w:hint="eastAsia" w:ascii="仿宋_GB2312" w:hAnsi="仿宋_GB2312" w:eastAsia="仿宋_GB2312" w:cs="仿宋_GB2312"/>
          <w:bCs/>
          <w:color w:val="000000"/>
          <w:sz w:val="28"/>
          <w:szCs w:val="28"/>
          <w:highlight w:val="none"/>
          <w:lang w:val="en-US" w:eastAsia="zh-CN"/>
        </w:rPr>
        <w:t>22.4</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承诺整个项目实施以项目顺利进行为前提，以张家港农村商业银行的项目管理制度作为唯一标准。</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的相关规定仅作为其内部的管理制度。如张家港农村商业银行的相关规定与</w:t>
      </w:r>
      <w:r>
        <w:rPr>
          <w:rFonts w:hint="eastAsia" w:ascii="仿宋_GB2312" w:hAnsi="仿宋_GB2312" w:eastAsia="仿宋_GB2312" w:cs="仿宋_GB2312"/>
          <w:bCs/>
          <w:color w:val="000000"/>
          <w:sz w:val="28"/>
          <w:szCs w:val="28"/>
          <w:highlight w:val="none"/>
          <w:lang w:eastAsia="zh-CN"/>
        </w:rPr>
        <w:t>供应商</w:t>
      </w:r>
      <w:r>
        <w:rPr>
          <w:rFonts w:hint="eastAsia" w:ascii="仿宋_GB2312" w:hAnsi="仿宋_GB2312" w:eastAsia="仿宋_GB2312" w:cs="仿宋_GB2312"/>
          <w:bCs/>
          <w:color w:val="000000"/>
          <w:sz w:val="28"/>
          <w:szCs w:val="28"/>
          <w:highlight w:val="none"/>
        </w:rPr>
        <w:t>的相关规定不一致时，以张家港农村商业银行的相关规定为准。</w:t>
      </w:r>
    </w:p>
    <w:bookmarkEnd w:id="17"/>
    <w:bookmarkEnd w:id="18"/>
    <w:bookmarkEnd w:id="49"/>
    <w:p>
      <w:pPr>
        <w:pStyle w:val="5"/>
        <w:pageBreakBefore w:val="0"/>
        <w:numPr>
          <w:ilvl w:val="0"/>
          <w:numId w:val="0"/>
        </w:numPr>
        <w:tabs>
          <w:tab w:val="left" w:pos="851"/>
          <w:tab w:val="left" w:pos="1021"/>
        </w:tabs>
        <w:kinsoku/>
        <w:wordWrap/>
        <w:overflowPunct/>
        <w:topLinePunct w:val="0"/>
        <w:autoSpaceDE/>
        <w:autoSpaceDN/>
        <w:bidi w:val="0"/>
        <w:spacing w:before="0" w:after="0" w:line="560" w:lineRule="exact"/>
        <w:jc w:val="both"/>
        <w:textAlignment w:val="auto"/>
        <w:rPr>
          <w:rFonts w:ascii="仿宋_GB2312" w:hAnsi="仿宋_GB2312" w:eastAsia="仿宋_GB2312" w:cs="仿宋_GB2312"/>
          <w:b w:val="0"/>
          <w:bCs/>
          <w:sz w:val="28"/>
          <w:szCs w:val="28"/>
          <w:highlight w:val="none"/>
        </w:rPr>
      </w:pPr>
      <w:bookmarkStart w:id="58" w:name="_Toc13042"/>
      <w:bookmarkStart w:id="59" w:name="_Toc24338"/>
      <w:bookmarkStart w:id="60" w:name="_Toc30498"/>
      <w:r>
        <w:rPr>
          <w:rFonts w:hint="eastAsia" w:ascii="仿宋_GB2312" w:hAnsi="仿宋_GB2312" w:eastAsia="仿宋_GB2312" w:cs="仿宋_GB2312"/>
          <w:b w:val="0"/>
          <w:bCs/>
          <w:sz w:val="28"/>
          <w:szCs w:val="28"/>
          <w:highlight w:val="none"/>
          <w:lang w:val="en-US" w:eastAsia="zh-CN"/>
        </w:rPr>
        <w:t>22.5</w:t>
      </w:r>
      <w:r>
        <w:rPr>
          <w:rFonts w:hint="eastAsia" w:ascii="仿宋_GB2312" w:hAnsi="仿宋_GB2312" w:eastAsia="仿宋_GB2312" w:cs="仿宋_GB2312"/>
          <w:b w:val="0"/>
          <w:bCs/>
          <w:sz w:val="28"/>
          <w:szCs w:val="28"/>
          <w:highlight w:val="none"/>
        </w:rPr>
        <w:t>其他</w:t>
      </w:r>
      <w:bookmarkEnd w:id="58"/>
      <w:bookmarkEnd w:id="59"/>
      <w:bookmarkEnd w:id="60"/>
      <w:r>
        <w:rPr>
          <w:rFonts w:hint="eastAsia" w:ascii="仿宋_GB2312" w:hAnsi="仿宋_GB2312" w:eastAsia="仿宋_GB2312" w:cs="仿宋_GB2312"/>
          <w:b w:val="0"/>
          <w:bCs/>
          <w:sz w:val="28"/>
          <w:szCs w:val="28"/>
          <w:highlight w:val="none"/>
          <w:lang w:eastAsia="zh-CN"/>
        </w:rPr>
        <w:t>：供应商</w:t>
      </w:r>
      <w:r>
        <w:rPr>
          <w:rFonts w:hint="eastAsia" w:ascii="仿宋_GB2312" w:hAnsi="仿宋_GB2312" w:eastAsia="仿宋_GB2312" w:cs="仿宋_GB2312"/>
          <w:b w:val="0"/>
          <w:bCs/>
          <w:sz w:val="28"/>
          <w:szCs w:val="28"/>
          <w:highlight w:val="none"/>
        </w:rPr>
        <w:t>提供的服务应满足中国人民银行、中国银行业监督管理会员等监管机构的所有规范性文件要求；</w:t>
      </w:r>
      <w:r>
        <w:rPr>
          <w:rFonts w:hint="eastAsia" w:ascii="仿宋_GB2312" w:hAnsi="仿宋_GB2312" w:eastAsia="仿宋_GB2312" w:cs="仿宋_GB2312"/>
          <w:b w:val="0"/>
          <w:bCs/>
          <w:sz w:val="28"/>
          <w:szCs w:val="28"/>
          <w:highlight w:val="none"/>
          <w:lang w:eastAsia="zh-CN"/>
        </w:rPr>
        <w:t>供应商</w:t>
      </w:r>
      <w:r>
        <w:rPr>
          <w:rFonts w:hint="eastAsia" w:ascii="仿宋_GB2312" w:hAnsi="仿宋_GB2312" w:eastAsia="仿宋_GB2312" w:cs="仿宋_GB2312"/>
          <w:b w:val="0"/>
          <w:bCs/>
          <w:sz w:val="28"/>
          <w:szCs w:val="28"/>
          <w:highlight w:val="none"/>
        </w:rPr>
        <w:t>所提供的所有技术文件中的技术指标均应符合《</w:t>
      </w:r>
      <w:r>
        <w:rPr>
          <w:rFonts w:hint="eastAsia" w:ascii="仿宋_GB2312" w:hAnsi="仿宋_GB2312" w:eastAsia="仿宋_GB2312" w:cs="仿宋_GB2312"/>
          <w:b w:val="0"/>
          <w:bCs/>
          <w:sz w:val="28"/>
          <w:szCs w:val="28"/>
          <w:highlight w:val="none"/>
          <w:lang w:val="en-US" w:eastAsia="zh-CN"/>
        </w:rPr>
        <w:t>采购</w:t>
      </w:r>
      <w:r>
        <w:rPr>
          <w:rFonts w:hint="eastAsia" w:ascii="仿宋_GB2312" w:hAnsi="仿宋_GB2312" w:eastAsia="仿宋_GB2312" w:cs="仿宋_GB2312"/>
          <w:b w:val="0"/>
          <w:bCs/>
          <w:sz w:val="28"/>
          <w:szCs w:val="28"/>
          <w:highlight w:val="none"/>
        </w:rPr>
        <w:t>文件》技术要求规定，同时符合相应的国家标准、行业标准和国际标准；</w:t>
      </w:r>
      <w:r>
        <w:rPr>
          <w:rFonts w:hint="eastAsia" w:ascii="仿宋_GB2312" w:hAnsi="仿宋_GB2312" w:eastAsia="仿宋_GB2312" w:cs="仿宋_GB2312"/>
          <w:b w:val="0"/>
          <w:bCs/>
          <w:sz w:val="28"/>
          <w:szCs w:val="28"/>
          <w:highlight w:val="none"/>
          <w:lang w:eastAsia="zh-CN"/>
        </w:rPr>
        <w:t>供应商</w:t>
      </w:r>
      <w:r>
        <w:rPr>
          <w:rFonts w:hint="eastAsia" w:ascii="仿宋_GB2312" w:hAnsi="仿宋_GB2312" w:eastAsia="仿宋_GB2312" w:cs="仿宋_GB2312"/>
          <w:b w:val="0"/>
          <w:bCs/>
          <w:sz w:val="28"/>
          <w:szCs w:val="28"/>
          <w:highlight w:val="none"/>
        </w:rPr>
        <w:t>应遵守有关的地方法规、法令和规定的有关要求。</w:t>
      </w:r>
    </w:p>
    <w:p>
      <w:pPr>
        <w:rPr>
          <w:rFonts w:ascii="仿宋_GB2312" w:hAnsi="仿宋_GB2312" w:eastAsia="仿宋_GB2312" w:cs="仿宋_GB2312"/>
          <w:highlight w:val="none"/>
        </w:rPr>
      </w:pPr>
    </w:p>
    <w:p>
      <w:pPr>
        <w:rPr>
          <w:rFonts w:ascii="仿宋_GB2312" w:hAnsi="仿宋_GB2312" w:eastAsia="仿宋_GB2312" w:cs="仿宋_GB2312"/>
        </w:rPr>
      </w:pPr>
    </w:p>
    <w:p>
      <w:pPr>
        <w:pStyle w:val="2"/>
        <w:rPr>
          <w:rFonts w:ascii="仿宋_GB2312" w:hAnsi="仿宋_GB2312" w:eastAsia="仿宋_GB2312" w:cs="仿宋_GB2312"/>
        </w:rPr>
      </w:pPr>
    </w:p>
    <w:p>
      <w:pPr>
        <w:pStyle w:val="2"/>
        <w:rPr>
          <w:rFonts w:ascii="仿宋_GB2312" w:hAnsi="仿宋_GB2312" w:eastAsia="仿宋_GB2312" w:cs="仿宋_GB2312"/>
        </w:rPr>
      </w:pPr>
    </w:p>
    <w:p>
      <w:pPr>
        <w:pStyle w:val="2"/>
        <w:rPr>
          <w:rFonts w:ascii="仿宋_GB2312" w:hAnsi="仿宋_GB2312" w:eastAsia="仿宋_GB2312" w:cs="仿宋_GB2312"/>
        </w:rPr>
      </w:pPr>
    </w:p>
    <w:p>
      <w:pPr>
        <w:pStyle w:val="2"/>
        <w:rPr>
          <w:rFonts w:ascii="仿宋_GB2312" w:hAnsi="仿宋_GB2312" w:eastAsia="仿宋_GB2312" w:cs="仿宋_GB2312"/>
        </w:rPr>
      </w:pPr>
    </w:p>
    <w:p>
      <w:pPr>
        <w:pStyle w:val="2"/>
        <w:rPr>
          <w:rFonts w:ascii="仿宋_GB2312" w:hAnsi="仿宋_GB2312" w:eastAsia="仿宋_GB2312" w:cs="仿宋_GB2312"/>
        </w:rPr>
      </w:pPr>
    </w:p>
    <w:p>
      <w:pPr>
        <w:rPr>
          <w:rFonts w:ascii="仿宋_GB2312" w:hAnsi="仿宋_GB2312" w:eastAsia="仿宋_GB2312" w:cs="仿宋_GB2312"/>
        </w:rPr>
      </w:pPr>
    </w:p>
    <w:p>
      <w:pPr>
        <w:rPr>
          <w:rFonts w:ascii="仿宋_GB2312" w:hAnsi="仿宋_GB2312" w:eastAsia="仿宋_GB2312" w:cs="仿宋_GB2312"/>
        </w:rPr>
      </w:pPr>
    </w:p>
    <w:p>
      <w:pPr>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40"/>
          <w:szCs w:val="40"/>
        </w:rPr>
        <w:t>第四部分 响应文件格式</w:t>
      </w: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说明：</w:t>
      </w:r>
    </w:p>
    <w:p>
      <w:pPr>
        <w:pStyle w:val="8"/>
        <w:overflowPunct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对本章所有的格式，供应商可根据自身情况进行补充和修改，但补充和修改不得造成与本格式内容有实质性的违背。</w:t>
      </w: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pPr>
    </w:p>
    <w:p>
      <w:pPr>
        <w:rPr>
          <w:rFonts w:ascii="仿宋_GB2312" w:hAnsi="仿宋_GB2312" w:eastAsia="仿宋_GB2312" w:cs="仿宋_GB2312"/>
          <w:b/>
          <w:bCs/>
          <w:sz w:val="28"/>
          <w:szCs w:val="28"/>
        </w:rPr>
        <w:sectPr>
          <w:headerReference r:id="rId3" w:type="default"/>
          <w:pgSz w:w="11906" w:h="16838"/>
          <w:pgMar w:top="1361" w:right="1080" w:bottom="1361" w:left="1080" w:header="851" w:footer="992" w:gutter="0"/>
          <w:cols w:space="720" w:num="1"/>
          <w:docGrid w:type="lines" w:linePitch="312" w:charSpace="0"/>
        </w:sectPr>
      </w:pP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响应文件封面：</w:t>
      </w:r>
    </w:p>
    <w:p>
      <w:pPr>
        <w:pStyle w:val="2"/>
        <w:spacing w:line="360" w:lineRule="auto"/>
        <w:rPr>
          <w:rFonts w:ascii="仿宋_GB2312" w:hAnsi="仿宋_GB2312" w:eastAsia="仿宋_GB2312" w:cs="仿宋_GB2312"/>
          <w:b/>
          <w:sz w:val="32"/>
          <w:szCs w:val="32"/>
        </w:rPr>
      </w:pPr>
    </w:p>
    <w:p>
      <w:pPr>
        <w:pStyle w:val="2"/>
        <w:spacing w:line="360" w:lineRule="auto"/>
        <w:rPr>
          <w:rFonts w:ascii="仿宋_GB2312" w:hAnsi="仿宋_GB2312" w:eastAsia="仿宋_GB2312" w:cs="仿宋_GB2312"/>
          <w:b/>
          <w:sz w:val="32"/>
          <w:szCs w:val="32"/>
        </w:rPr>
      </w:pPr>
    </w:p>
    <w:p>
      <w:pPr>
        <w:pStyle w:val="2"/>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响应文件</w:t>
      </w:r>
    </w:p>
    <w:p>
      <w:pPr>
        <w:pStyle w:val="2"/>
        <w:spacing w:line="360" w:lineRule="auto"/>
        <w:ind w:left="-105" w:leftChars="-50" w:firstLine="2880" w:firstLineChars="900"/>
        <w:rPr>
          <w:rFonts w:ascii="仿宋_GB2312" w:hAnsi="仿宋_GB2312" w:eastAsia="仿宋_GB2312" w:cs="仿宋_GB2312"/>
          <w:sz w:val="32"/>
          <w:szCs w:val="32"/>
        </w:rPr>
      </w:pPr>
    </w:p>
    <w:p>
      <w:pPr>
        <w:pStyle w:val="2"/>
        <w:spacing w:line="360" w:lineRule="auto"/>
        <w:ind w:left="-105" w:leftChars="-50" w:firstLine="2880" w:firstLineChars="900"/>
        <w:rPr>
          <w:rFonts w:hint="default" w:ascii="仿宋_GB2312" w:hAnsi="仿宋_GB2312" w:eastAsia="仿宋_GB2312" w:cs="仿宋_GB2312"/>
          <w:sz w:val="32"/>
          <w:szCs w:val="32"/>
          <w:lang w:val="en-US" w:eastAsia="zh-CN"/>
        </w:rPr>
      </w:pPr>
      <w:r>
        <w:rPr>
          <w:rFonts w:ascii="仿宋_GB2312" w:hAnsi="仿宋_GB2312" w:eastAsia="仿宋_GB2312" w:cs="仿宋_GB2312"/>
          <w:sz w:val="32"/>
          <w:szCs w:val="32"/>
        </w:rPr>
        <mc:AlternateContent>
          <mc:Choice Requires="wps">
            <w:drawing>
              <wp:anchor distT="0" distB="0" distL="114300" distR="114300" simplePos="0" relativeHeight="251658240" behindDoc="0" locked="0" layoutInCell="1" allowOverlap="1">
                <wp:simplePos x="0" y="0"/>
                <wp:positionH relativeFrom="column">
                  <wp:posOffset>2730500</wp:posOffset>
                </wp:positionH>
                <wp:positionV relativeFrom="paragraph">
                  <wp:posOffset>262255</wp:posOffset>
                </wp:positionV>
                <wp:extent cx="1350010"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50010" cy="127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15pt;margin-top:20.65pt;height:0.1pt;width:106.3pt;z-index:251658240;mso-width-relative:page;mso-height-relative:page;" filled="f" stroked="t" coordsize="21600,21600" o:gfxdata="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K9SiPXAAAACQEA&#10;AA8AAAAAAAAAAQAgAAAAIgAAAGRycy9kb3ducmV2LnhtbFBLAQIUABQAAAAIAIdO4kA4hzFc4gEA&#10;AKcDAAAOAAAAAAAAAAEAIAAAACYBAABkcnMvZTJvRG9jLnhtbFBLBQYAAAAABgAGAFkBAAB6BQAA&#10;AAA=&#10;">
                <v:fill on="f" focussize="0,0"/>
                <v:stroke color="#000000" joinstyle="round"/>
                <v:imagedata o:title=""/>
                <o:lock v:ext="edit" aspectratio="f"/>
              </v:line>
            </w:pict>
          </mc:Fallback>
        </mc:AlternateContent>
      </w:r>
      <w:r>
        <w:rPr>
          <w:rFonts w:hint="eastAsia" w:ascii="仿宋_GB2312" w:hAnsi="仿宋_GB2312" w:eastAsia="仿宋_GB2312" w:cs="仿宋_GB2312"/>
          <w:sz w:val="32"/>
          <w:szCs w:val="32"/>
        </w:rPr>
        <w:t>项目编号：ZJGRCB2020</w:t>
      </w:r>
      <w:r>
        <w:rPr>
          <w:rFonts w:hint="eastAsia" w:ascii="仿宋_GB2312" w:hAnsi="仿宋_GB2312" w:eastAsia="仿宋_GB2312" w:cs="仿宋_GB2312"/>
          <w:sz w:val="32"/>
          <w:szCs w:val="32"/>
          <w:lang w:val="en-US" w:eastAsia="zh-CN"/>
        </w:rPr>
        <w:t>1009</w:t>
      </w:r>
    </w:p>
    <w:p>
      <w:pPr>
        <w:pStyle w:val="2"/>
        <w:spacing w:line="360" w:lineRule="auto"/>
        <w:ind w:firstLine="531"/>
        <w:rPr>
          <w:rFonts w:ascii="仿宋_GB2312" w:hAnsi="仿宋_GB2312" w:eastAsia="仿宋_GB2312" w:cs="仿宋_GB2312"/>
          <w:sz w:val="32"/>
          <w:szCs w:val="32"/>
        </w:rPr>
      </w:pPr>
    </w:p>
    <w:p>
      <w:pPr>
        <w:pStyle w:val="2"/>
        <w:spacing w:line="360" w:lineRule="auto"/>
        <w:ind w:firstLine="531"/>
        <w:rPr>
          <w:rFonts w:ascii="仿宋_GB2312" w:hAnsi="仿宋_GB2312" w:eastAsia="仿宋_GB2312" w:cs="仿宋_GB2312"/>
          <w:sz w:val="32"/>
          <w:szCs w:val="32"/>
        </w:rPr>
      </w:pPr>
    </w:p>
    <w:p>
      <w:pPr>
        <w:pStyle w:val="2"/>
        <w:spacing w:line="360" w:lineRule="auto"/>
        <w:ind w:firstLine="531"/>
        <w:rPr>
          <w:rFonts w:ascii="仿宋_GB2312" w:hAnsi="仿宋_GB2312" w:eastAsia="仿宋_GB2312" w:cs="仿宋_GB2312"/>
          <w:sz w:val="32"/>
          <w:szCs w:val="32"/>
        </w:rPr>
      </w:pPr>
    </w:p>
    <w:p>
      <w:pPr>
        <w:pStyle w:val="2"/>
        <w:spacing w:line="360" w:lineRule="auto"/>
        <w:ind w:firstLine="531"/>
        <w:rPr>
          <w:rFonts w:ascii="仿宋_GB2312" w:hAnsi="仿宋_GB2312" w:eastAsia="仿宋_GB2312" w:cs="仿宋_GB2312"/>
          <w:sz w:val="32"/>
          <w:szCs w:val="32"/>
        </w:rPr>
      </w:pPr>
    </w:p>
    <w:p>
      <w:pPr>
        <w:pStyle w:val="2"/>
        <w:spacing w:line="360" w:lineRule="auto"/>
        <w:ind w:firstLine="531"/>
        <w:rPr>
          <w:rFonts w:ascii="仿宋_GB2312" w:hAnsi="仿宋_GB2312" w:eastAsia="仿宋_GB2312" w:cs="仿宋_GB2312"/>
          <w:sz w:val="32"/>
          <w:szCs w:val="32"/>
        </w:rPr>
      </w:pPr>
    </w:p>
    <w:p>
      <w:pPr>
        <w:pStyle w:val="2"/>
        <w:spacing w:line="360" w:lineRule="auto"/>
        <w:ind w:firstLine="531"/>
        <w:rPr>
          <w:rFonts w:ascii="仿宋_GB2312" w:hAnsi="仿宋_GB2312" w:eastAsia="仿宋_GB2312" w:cs="仿宋_GB2312"/>
          <w:sz w:val="32"/>
          <w:szCs w:val="32"/>
        </w:rPr>
      </w:pPr>
    </w:p>
    <w:p>
      <w:pPr>
        <w:snapToGrid w:val="0"/>
        <w:jc w:val="center"/>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u w:val="single"/>
        </w:rPr>
        <w:t>江苏张家港农村商业银行股份有限公司</w:t>
      </w:r>
    </w:p>
    <w:p>
      <w:pPr>
        <w:snapToGrid w:val="0"/>
        <w:jc w:val="center"/>
        <w:rPr>
          <w:rFonts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新一代信贷系统PMO</w:t>
      </w:r>
      <w:r>
        <w:rPr>
          <w:rFonts w:hint="eastAsia" w:ascii="仿宋_GB2312" w:hAnsi="仿宋_GB2312" w:eastAsia="仿宋_GB2312" w:cs="仿宋_GB2312"/>
          <w:sz w:val="32"/>
          <w:szCs w:val="32"/>
          <w:u w:val="single"/>
          <w:lang w:eastAsia="zh-CN"/>
        </w:rPr>
        <w:t>管理模式</w:t>
      </w:r>
      <w:r>
        <w:rPr>
          <w:rFonts w:hint="eastAsia" w:ascii="仿宋_GB2312" w:hAnsi="仿宋_GB2312" w:eastAsia="仿宋_GB2312" w:cs="仿宋_GB2312"/>
          <w:sz w:val="32"/>
          <w:szCs w:val="32"/>
          <w:u w:val="single"/>
        </w:rPr>
        <w:t>项目</w:t>
      </w:r>
    </w:p>
    <w:p>
      <w:pPr>
        <w:pStyle w:val="2"/>
        <w:spacing w:line="360" w:lineRule="auto"/>
        <w:ind w:firstLine="531"/>
        <w:jc w:val="center"/>
        <w:rPr>
          <w:rFonts w:ascii="仿宋_GB2312" w:hAnsi="仿宋_GB2312" w:eastAsia="仿宋_GB2312" w:cs="仿宋_GB2312"/>
          <w:sz w:val="32"/>
          <w:szCs w:val="32"/>
          <w:u w:val="single"/>
        </w:rPr>
      </w:pPr>
    </w:p>
    <w:p>
      <w:pPr>
        <w:pStyle w:val="2"/>
        <w:spacing w:line="360" w:lineRule="auto"/>
        <w:ind w:firstLine="960" w:firstLineChars="3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供应商全称：</w:t>
      </w:r>
      <w:r>
        <w:rPr>
          <w:rFonts w:hint="eastAsia" w:ascii="仿宋_GB2312" w:hAnsi="仿宋_GB2312" w:eastAsia="仿宋_GB2312" w:cs="仿宋_GB2312"/>
          <w:sz w:val="32"/>
          <w:szCs w:val="32"/>
          <w:u w:val="single"/>
        </w:rPr>
        <w:t xml:space="preserve">                               </w:t>
      </w:r>
    </w:p>
    <w:p>
      <w:pPr>
        <w:pStyle w:val="2"/>
        <w:spacing w:line="360" w:lineRule="auto"/>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（盖公章 ）</w:t>
      </w:r>
      <w:r>
        <w:rPr>
          <w:rFonts w:hint="eastAsia" w:ascii="仿宋_GB2312" w:hAnsi="仿宋_GB2312" w:eastAsia="仿宋_GB2312" w:cs="仿宋_GB2312"/>
          <w:sz w:val="32"/>
          <w:szCs w:val="32"/>
          <w:u w:val="single"/>
        </w:rPr>
        <w:t xml:space="preserve">                               </w:t>
      </w:r>
    </w:p>
    <w:p>
      <w:pPr>
        <w:pStyle w:val="2"/>
        <w:spacing w:line="360" w:lineRule="auto"/>
        <w:ind w:firstLine="531"/>
        <w:rPr>
          <w:rFonts w:ascii="仿宋_GB2312" w:hAnsi="仿宋_GB2312" w:eastAsia="仿宋_GB2312" w:cs="仿宋_GB2312"/>
          <w:sz w:val="32"/>
          <w:szCs w:val="32"/>
        </w:rPr>
      </w:pPr>
    </w:p>
    <w:p>
      <w:pPr>
        <w:pStyle w:val="2"/>
        <w:spacing w:line="360" w:lineRule="auto"/>
        <w:ind w:firstLine="640"/>
        <w:rPr>
          <w:rFonts w:ascii="仿宋_GB2312" w:hAnsi="仿宋_GB2312" w:eastAsia="仿宋_GB2312" w:cs="仿宋_GB2312"/>
          <w:sz w:val="32"/>
          <w:szCs w:val="32"/>
        </w:rPr>
      </w:pPr>
    </w:p>
    <w:p>
      <w:pPr>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日  期：       年      月     日</w:t>
      </w:r>
    </w:p>
    <w:p>
      <w:pPr>
        <w:spacing w:line="360" w:lineRule="auto"/>
        <w:rPr>
          <w:rFonts w:ascii="仿宋_GB2312" w:hAnsi="仿宋_GB2312" w:eastAsia="仿宋_GB2312" w:cs="仿宋_GB2312"/>
          <w:b/>
          <w:bCs/>
          <w:sz w:val="28"/>
          <w:szCs w:val="28"/>
        </w:rPr>
        <w:sectPr>
          <w:pgSz w:w="11906" w:h="16838"/>
          <w:pgMar w:top="1361" w:right="1080" w:bottom="1361" w:left="1080" w:header="851" w:footer="992" w:gutter="0"/>
          <w:cols w:space="720" w:num="1"/>
          <w:docGrid w:type="lines" w:linePitch="312" w:charSpace="0"/>
        </w:sectPr>
      </w:pPr>
    </w:p>
    <w:p>
      <w:pPr>
        <w:spacing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（一）报价文件</w:t>
      </w: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附件1：</w:t>
      </w:r>
    </w:p>
    <w:p>
      <w:pPr>
        <w:rPr>
          <w:rFonts w:ascii="仿宋_GB2312" w:hAnsi="仿宋_GB2312" w:eastAsia="仿宋_GB2312" w:cs="仿宋_GB2312"/>
          <w:b/>
          <w:bCs/>
          <w:sz w:val="28"/>
          <w:szCs w:val="28"/>
        </w:rPr>
      </w:pPr>
    </w:p>
    <w:p>
      <w:pPr>
        <w:pStyle w:val="26"/>
        <w:spacing w:line="360" w:lineRule="auto"/>
        <w:jc w:val="center"/>
        <w:rPr>
          <w:rFonts w:ascii="仿宋_GB2312" w:hAnsi="仿宋_GB2312" w:eastAsia="仿宋_GB2312" w:cs="仿宋_GB2312"/>
          <w:b/>
          <w:color w:val="auto"/>
          <w:sz w:val="28"/>
        </w:rPr>
      </w:pPr>
      <w:r>
        <w:rPr>
          <w:rFonts w:hint="eastAsia" w:ascii="仿宋_GB2312" w:hAnsi="仿宋_GB2312" w:eastAsia="仿宋_GB2312" w:cs="仿宋_GB2312"/>
          <w:b/>
          <w:color w:val="auto"/>
          <w:sz w:val="28"/>
        </w:rPr>
        <w:t>总报价</w:t>
      </w:r>
    </w:p>
    <w:tbl>
      <w:tblPr>
        <w:tblStyle w:val="21"/>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 w:hRule="atLeast"/>
        </w:trPr>
        <w:tc>
          <w:tcPr>
            <w:tcW w:w="3227" w:type="dxa"/>
            <w:vAlign w:val="center"/>
          </w:tcPr>
          <w:p>
            <w:pPr>
              <w:pStyle w:val="26"/>
              <w:spacing w:line="360" w:lineRule="auto"/>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项目编号：</w:t>
            </w:r>
          </w:p>
        </w:tc>
        <w:tc>
          <w:tcPr>
            <w:tcW w:w="6735" w:type="dxa"/>
            <w:vAlign w:val="center"/>
          </w:tcPr>
          <w:p>
            <w:pPr>
              <w:pStyle w:val="26"/>
              <w:spacing w:line="360" w:lineRule="auto"/>
              <w:jc w:val="both"/>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u w:val="single"/>
              </w:rPr>
              <w:t>ZJGRCB2020100</w:t>
            </w:r>
            <w:r>
              <w:rPr>
                <w:rFonts w:hint="eastAsia" w:ascii="仿宋_GB2312" w:hAnsi="仿宋_GB2312" w:eastAsia="仿宋_GB2312" w:cs="仿宋_GB2312"/>
                <w:color w:val="auto"/>
                <w:sz w:val="32"/>
                <w:szCs w:val="32"/>
                <w:u w:val="singl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trPr>
        <w:tc>
          <w:tcPr>
            <w:tcW w:w="3227" w:type="dxa"/>
            <w:vAlign w:val="center"/>
          </w:tcPr>
          <w:p>
            <w:pPr>
              <w:pStyle w:val="26"/>
              <w:spacing w:line="360" w:lineRule="auto"/>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项目名称：</w:t>
            </w:r>
          </w:p>
        </w:tc>
        <w:tc>
          <w:tcPr>
            <w:tcW w:w="6735" w:type="dxa"/>
            <w:vAlign w:val="center"/>
          </w:tcPr>
          <w:p>
            <w:pPr>
              <w:pStyle w:val="26"/>
              <w:spacing w:line="360" w:lineRule="auto"/>
              <w:rPr>
                <w:rFonts w:ascii="仿宋_GB2312" w:hAnsi="仿宋_GB2312" w:eastAsia="仿宋_GB2312" w:cs="仿宋_GB2312"/>
                <w:color w:val="auto"/>
                <w:sz w:val="21"/>
                <w:szCs w:val="21"/>
                <w:u w:val="single"/>
              </w:rPr>
            </w:pPr>
            <w:r>
              <w:rPr>
                <w:rFonts w:hint="eastAsia" w:ascii="仿宋_GB2312" w:hAnsi="仿宋_GB2312" w:eastAsia="仿宋_GB2312" w:cs="仿宋_GB2312"/>
                <w:color w:val="auto"/>
                <w:sz w:val="21"/>
                <w:szCs w:val="21"/>
                <w:u w:val="single"/>
              </w:rPr>
              <w:t>江苏张家港农村商业银行股份有限公司新一代信贷系统PMO</w:t>
            </w:r>
            <w:r>
              <w:rPr>
                <w:rFonts w:hint="eastAsia" w:ascii="仿宋_GB2312" w:hAnsi="仿宋_GB2312" w:eastAsia="仿宋_GB2312" w:cs="仿宋_GB2312"/>
                <w:color w:val="auto"/>
                <w:sz w:val="21"/>
                <w:szCs w:val="21"/>
                <w:u w:val="single"/>
                <w:lang w:eastAsia="zh-CN"/>
              </w:rPr>
              <w:t>管理模式</w:t>
            </w:r>
            <w:r>
              <w:rPr>
                <w:rFonts w:hint="eastAsia" w:ascii="仿宋_GB2312" w:hAnsi="仿宋_GB2312" w:eastAsia="仿宋_GB2312" w:cs="仿宋_GB2312"/>
                <w:color w:val="auto"/>
                <w:sz w:val="21"/>
                <w:szCs w:val="21"/>
                <w:u w:val="single"/>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3227" w:type="dxa"/>
            <w:vAlign w:val="center"/>
          </w:tcPr>
          <w:p>
            <w:pPr>
              <w:pStyle w:val="26"/>
              <w:spacing w:line="360" w:lineRule="auto"/>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供应商全称：</w:t>
            </w:r>
          </w:p>
        </w:tc>
        <w:tc>
          <w:tcPr>
            <w:tcW w:w="6735" w:type="dxa"/>
            <w:vAlign w:val="center"/>
          </w:tcPr>
          <w:p>
            <w:pPr>
              <w:pStyle w:val="26"/>
              <w:spacing w:line="360" w:lineRule="auto"/>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7" w:hRule="atLeast"/>
        </w:trPr>
        <w:tc>
          <w:tcPr>
            <w:tcW w:w="3227" w:type="dxa"/>
            <w:vAlign w:val="center"/>
          </w:tcPr>
          <w:p>
            <w:pPr>
              <w:pStyle w:val="26"/>
              <w:spacing w:line="360" w:lineRule="auto"/>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总价（含税）</w:t>
            </w:r>
          </w:p>
          <w:p>
            <w:pPr>
              <w:pStyle w:val="26"/>
              <w:spacing w:line="360" w:lineRule="auto"/>
              <w:jc w:val="center"/>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增值税税率</w:t>
            </w:r>
            <w:r>
              <w:rPr>
                <w:rFonts w:hint="eastAsia" w:ascii="仿宋_GB2312" w:hAnsi="仿宋_GB2312" w:eastAsia="仿宋_GB2312" w:cs="仿宋_GB2312"/>
                <w:color w:val="auto"/>
                <w:sz w:val="21"/>
                <w:szCs w:val="21"/>
                <w:u w:val="single"/>
              </w:rPr>
              <w:t xml:space="preserve">     </w:t>
            </w:r>
            <w:r>
              <w:rPr>
                <w:rFonts w:hint="eastAsia" w:ascii="仿宋_GB2312" w:hAnsi="仿宋_GB2312" w:eastAsia="仿宋_GB2312" w:cs="仿宋_GB2312"/>
                <w:color w:val="auto"/>
                <w:sz w:val="21"/>
                <w:szCs w:val="21"/>
              </w:rPr>
              <w:t>%</w:t>
            </w:r>
          </w:p>
        </w:tc>
        <w:tc>
          <w:tcPr>
            <w:tcW w:w="6735" w:type="dxa"/>
            <w:vAlign w:val="center"/>
          </w:tcPr>
          <w:p>
            <w:pPr>
              <w:pStyle w:val="26"/>
              <w:spacing w:line="360" w:lineRule="auto"/>
              <w:rPr>
                <w:rFonts w:ascii="仿宋_GB2312" w:hAnsi="仿宋_GB2312" w:eastAsia="仿宋_GB2312" w:cs="仿宋_GB2312"/>
                <w:color w:val="auto"/>
                <w:sz w:val="21"/>
                <w:szCs w:val="21"/>
                <w:u w:val="single"/>
              </w:rPr>
            </w:pPr>
            <w:r>
              <w:rPr>
                <w:rFonts w:hint="eastAsia" w:ascii="仿宋_GB2312" w:hAnsi="仿宋_GB2312" w:eastAsia="仿宋_GB2312" w:cs="仿宋_GB2312"/>
                <w:color w:val="auto"/>
                <w:sz w:val="21"/>
                <w:szCs w:val="21"/>
                <w:u w:val="single"/>
              </w:rPr>
              <w:t xml:space="preserve">                     元(大写)</w:t>
            </w:r>
          </w:p>
          <w:p>
            <w:pPr>
              <w:pStyle w:val="26"/>
              <w:spacing w:line="360" w:lineRule="auto"/>
              <w:rPr>
                <w:rFonts w:ascii="仿宋_GB2312" w:hAnsi="仿宋_GB2312" w:eastAsia="仿宋_GB2312" w:cs="仿宋_GB2312"/>
                <w:color w:val="auto"/>
                <w:sz w:val="21"/>
                <w:szCs w:val="21"/>
              </w:rPr>
            </w:pPr>
          </w:p>
          <w:p>
            <w:pPr>
              <w:pStyle w:val="26"/>
              <w:spacing w:line="360" w:lineRule="auto"/>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u w:val="single"/>
              </w:rPr>
              <w:t xml:space="preserve">                     元(小写)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9962" w:type="dxa"/>
            <w:gridSpan w:val="2"/>
            <w:vAlign w:val="center"/>
          </w:tcPr>
          <w:p>
            <w:pPr>
              <w:ind w:left="1401" w:hanging="1405" w:hangingChars="500"/>
              <w:rPr>
                <w:rFonts w:ascii="仿宋_GB2312" w:hAnsi="仿宋_GB2312" w:eastAsia="仿宋_GB2312" w:cs="仿宋_GB2312"/>
                <w:szCs w:val="21"/>
                <w:u w:val="single"/>
              </w:rPr>
            </w:pPr>
            <w:r>
              <w:rPr>
                <w:rFonts w:hint="eastAsia" w:ascii="仿宋_GB2312" w:hAnsi="仿宋_GB2312" w:eastAsia="仿宋_GB2312" w:cs="仿宋_GB2312"/>
                <w:b/>
                <w:bCs/>
                <w:kern w:val="0"/>
                <w:sz w:val="28"/>
                <w:szCs w:val="28"/>
              </w:rPr>
              <w:t>最高限价（总价）为人民币180万元，报价高于最高限价为无效响应。</w:t>
            </w:r>
          </w:p>
        </w:tc>
      </w:tr>
    </w:tbl>
    <w:p>
      <w:pPr>
        <w:autoSpaceDE w:val="0"/>
        <w:autoSpaceDN w:val="0"/>
        <w:spacing w:line="360" w:lineRule="auto"/>
        <w:jc w:val="left"/>
        <w:rPr>
          <w:rFonts w:ascii="仿宋_GB2312" w:hAnsi="仿宋_GB2312" w:eastAsia="仿宋_GB2312" w:cs="仿宋_GB2312"/>
          <w:kern w:val="0"/>
          <w:sz w:val="24"/>
        </w:rPr>
      </w:pPr>
    </w:p>
    <w:p>
      <w:pPr>
        <w:autoSpaceDE w:val="0"/>
        <w:autoSpaceDN w:val="0"/>
        <w:spacing w:line="360" w:lineRule="auto"/>
        <w:jc w:val="left"/>
        <w:rPr>
          <w:rFonts w:ascii="仿宋_GB2312" w:hAnsi="仿宋_GB2312" w:eastAsia="仿宋_GB2312" w:cs="仿宋_GB2312"/>
          <w:kern w:val="0"/>
          <w:sz w:val="24"/>
        </w:rPr>
      </w:pPr>
    </w:p>
    <w:p>
      <w:pPr>
        <w:autoSpaceDE w:val="0"/>
        <w:autoSpaceDN w:val="0"/>
        <w:spacing w:line="360" w:lineRule="auto"/>
        <w:jc w:val="left"/>
        <w:rPr>
          <w:rFonts w:ascii="仿宋_GB2312" w:hAnsi="仿宋_GB2312" w:eastAsia="仿宋_GB2312" w:cs="仿宋_GB2312"/>
          <w:kern w:val="0"/>
          <w:sz w:val="24"/>
        </w:rPr>
      </w:pPr>
    </w:p>
    <w:p>
      <w:pPr>
        <w:autoSpaceDE w:val="0"/>
        <w:autoSpaceDN w:val="0"/>
        <w:spacing w:line="360" w:lineRule="auto"/>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法定代表人或授权代理人（签字或盖章）：</w:t>
      </w:r>
      <w:r>
        <w:rPr>
          <w:rFonts w:hint="eastAsia" w:ascii="仿宋_GB2312" w:hAnsi="仿宋_GB2312" w:eastAsia="仿宋_GB2312" w:cs="仿宋_GB2312"/>
          <w:kern w:val="0"/>
          <w:sz w:val="28"/>
          <w:szCs w:val="28"/>
          <w:u w:val="single"/>
        </w:rPr>
        <w:t xml:space="preserve">            </w:t>
      </w:r>
    </w:p>
    <w:p>
      <w:pPr>
        <w:autoSpaceDE w:val="0"/>
        <w:autoSpaceDN w:val="0"/>
        <w:spacing w:line="360" w:lineRule="auto"/>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单位公章：</w:t>
      </w:r>
      <w:r>
        <w:rPr>
          <w:rFonts w:hint="eastAsia" w:ascii="仿宋_GB2312" w:hAnsi="仿宋_GB2312" w:eastAsia="仿宋_GB2312" w:cs="仿宋_GB2312"/>
          <w:kern w:val="0"/>
          <w:sz w:val="28"/>
          <w:szCs w:val="28"/>
          <w:u w:val="single"/>
        </w:rPr>
        <w:t xml:space="preserve">             </w:t>
      </w:r>
    </w:p>
    <w:p>
      <w:pPr>
        <w:autoSpaceDE w:val="0"/>
        <w:autoSpaceDN w:val="0"/>
        <w:spacing w:line="360" w:lineRule="auto"/>
        <w:jc w:val="left"/>
        <w:rPr>
          <w:rFonts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pPr>
        <w:pStyle w:val="2"/>
        <w:rPr>
          <w:rFonts w:ascii="仿宋_GB2312" w:hAnsi="仿宋_GB2312" w:eastAsia="仿宋_GB2312" w:cs="仿宋_GB2312"/>
          <w:sz w:val="28"/>
          <w:szCs w:val="28"/>
        </w:rPr>
      </w:pPr>
    </w:p>
    <w:p>
      <w:pPr>
        <w:pStyle w:val="2"/>
        <w:rPr>
          <w:rFonts w:ascii="仿宋_GB2312" w:hAnsi="仿宋_GB2312" w:eastAsia="仿宋_GB2312" w:cs="仿宋_GB2312"/>
          <w:sz w:val="28"/>
          <w:szCs w:val="28"/>
        </w:rPr>
      </w:pPr>
    </w:p>
    <w:p>
      <w:pPr>
        <w:spacing w:line="400" w:lineRule="exact"/>
        <w:rPr>
          <w:rFonts w:ascii="仿宋_GB2312" w:hAnsi="仿宋_GB2312" w:eastAsia="仿宋_GB2312" w:cs="仿宋_GB2312"/>
          <w:b/>
          <w:bCs/>
          <w:sz w:val="28"/>
          <w:szCs w:val="28"/>
        </w:rPr>
      </w:pP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（二）商务文件</w:t>
      </w:r>
    </w:p>
    <w:p>
      <w:pP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附件2：</w:t>
      </w: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磋商响应函</w:t>
      </w:r>
    </w:p>
    <w:p>
      <w:pPr>
        <w:pStyle w:val="8"/>
        <w:overflowPunct w:val="0"/>
        <w:spacing w:line="360" w:lineRule="auto"/>
        <w:ind w:firstLine="0"/>
        <w:outlineLvl w:val="1"/>
        <w:rPr>
          <w:rFonts w:ascii="仿宋_GB2312" w:hAnsi="仿宋_GB2312" w:eastAsia="仿宋_GB2312" w:cs="仿宋_GB2312"/>
          <w:sz w:val="24"/>
        </w:rPr>
      </w:pPr>
      <w:r>
        <w:rPr>
          <w:rFonts w:hint="eastAsia" w:ascii="仿宋_GB2312" w:hAnsi="仿宋_GB2312" w:eastAsia="仿宋_GB2312" w:cs="仿宋_GB2312"/>
          <w:sz w:val="24"/>
          <w:u w:val="single"/>
        </w:rPr>
        <w:t>江苏张家港农村商业银行股份有限公司</w:t>
      </w:r>
      <w:r>
        <w:rPr>
          <w:rFonts w:hint="eastAsia" w:ascii="仿宋_GB2312" w:hAnsi="仿宋_GB2312" w:eastAsia="仿宋_GB2312" w:cs="仿宋_GB2312"/>
          <w:sz w:val="24"/>
        </w:rPr>
        <w:t>：</w:t>
      </w:r>
    </w:p>
    <w:p>
      <w:pPr>
        <w:pStyle w:val="8"/>
        <w:overflowPunct w:val="0"/>
        <w:spacing w:line="360" w:lineRule="auto"/>
        <w:outlineLvl w:val="1"/>
        <w:rPr>
          <w:rFonts w:ascii="仿宋_GB2312" w:hAnsi="仿宋_GB2312" w:eastAsia="仿宋_GB2312" w:cs="仿宋_GB2312"/>
          <w:sz w:val="24"/>
        </w:rPr>
      </w:pPr>
      <w:r>
        <w:rPr>
          <w:rFonts w:hint="eastAsia" w:ascii="仿宋_GB2312" w:hAnsi="仿宋_GB2312" w:eastAsia="仿宋_GB2312" w:cs="仿宋_GB2312"/>
          <w:sz w:val="24"/>
        </w:rPr>
        <w:t>我们收到贵公司</w:t>
      </w:r>
      <w:r>
        <w:rPr>
          <w:rFonts w:hint="eastAsia" w:ascii="仿宋_GB2312" w:hAnsi="仿宋_GB2312" w:eastAsia="仿宋_GB2312" w:cs="仿宋_GB2312"/>
          <w:sz w:val="24"/>
          <w:u w:val="single"/>
        </w:rPr>
        <w:t>“江苏张家港农村商业银行股份有限公司</w:t>
      </w:r>
      <w:r>
        <w:rPr>
          <w:rFonts w:hint="eastAsia" w:ascii="仿宋_GB2312" w:hAnsi="仿宋_GB2312" w:eastAsia="仿宋_GB2312" w:cs="仿宋_GB2312"/>
          <w:snapToGrid w:val="0"/>
          <w:sz w:val="24"/>
          <w:u w:val="single"/>
        </w:rPr>
        <w:t>新一代信贷系统PMO</w:t>
      </w:r>
      <w:r>
        <w:rPr>
          <w:rFonts w:hint="eastAsia" w:ascii="仿宋_GB2312" w:hAnsi="仿宋_GB2312" w:eastAsia="仿宋_GB2312" w:cs="仿宋_GB2312"/>
          <w:snapToGrid w:val="0"/>
          <w:sz w:val="24"/>
          <w:u w:val="single"/>
          <w:lang w:eastAsia="zh-CN"/>
        </w:rPr>
        <w:t>管理模式</w:t>
      </w:r>
      <w:r>
        <w:rPr>
          <w:rFonts w:hint="eastAsia" w:ascii="仿宋_GB2312" w:hAnsi="仿宋_GB2312" w:eastAsia="仿宋_GB2312" w:cs="仿宋_GB2312"/>
          <w:snapToGrid w:val="0"/>
          <w:sz w:val="24"/>
          <w:u w:val="single"/>
        </w:rPr>
        <w:t>项目</w:t>
      </w:r>
      <w:r>
        <w:rPr>
          <w:rFonts w:hint="eastAsia" w:ascii="仿宋_GB2312" w:hAnsi="仿宋_GB2312" w:eastAsia="仿宋_GB2312" w:cs="仿宋_GB2312"/>
          <w:sz w:val="24"/>
          <w:u w:val="single"/>
        </w:rPr>
        <w:t>”</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rPr>
        <w:t>：ZJGRCB2020</w:t>
      </w:r>
      <w:r>
        <w:rPr>
          <w:rFonts w:hint="eastAsia" w:ascii="仿宋_GB2312" w:hAnsi="仿宋_GB2312" w:eastAsia="仿宋_GB2312" w:cs="仿宋_GB2312"/>
          <w:sz w:val="24"/>
          <w:u w:val="single"/>
          <w:lang w:val="en-US" w:eastAsia="zh-CN"/>
        </w:rPr>
        <w:t>1009</w:t>
      </w:r>
      <w:r>
        <w:rPr>
          <w:rFonts w:hint="eastAsia" w:ascii="仿宋_GB2312" w:hAnsi="仿宋_GB2312" w:eastAsia="仿宋_GB2312" w:cs="仿宋_GB2312"/>
          <w:sz w:val="24"/>
          <w:u w:val="single"/>
        </w:rPr>
        <w:t>）</w:t>
      </w:r>
      <w:r>
        <w:rPr>
          <w:rFonts w:hint="eastAsia" w:ascii="仿宋_GB2312" w:hAnsi="仿宋_GB2312" w:eastAsia="仿宋_GB2312" w:cs="仿宋_GB2312"/>
          <w:sz w:val="24"/>
        </w:rPr>
        <w:t>的磋商邀请，经仔细阅读和研究，我们决定参加该次磋商活动。</w:t>
      </w:r>
    </w:p>
    <w:p>
      <w:pPr>
        <w:pStyle w:val="27"/>
        <w:spacing w:line="360" w:lineRule="auto"/>
        <w:ind w:firstLine="480" w:firstLineChars="200"/>
        <w:rPr>
          <w:rFonts w:ascii="仿宋_GB2312" w:hAnsi="仿宋_GB2312" w:eastAsia="仿宋_GB2312" w:cs="仿宋_GB2312"/>
          <w:b/>
          <w:sz w:val="24"/>
        </w:rPr>
      </w:pPr>
      <w:r>
        <w:rPr>
          <w:rFonts w:hint="eastAsia" w:ascii="仿宋_GB2312" w:hAnsi="仿宋_GB2312" w:eastAsia="仿宋_GB2312" w:cs="仿宋_GB2312"/>
          <w:sz w:val="24"/>
        </w:rPr>
        <w:t>1、我们愿意按照磋商文件的一切要求，完成该项目的全部内容。</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2、如果我们的磋商响应文件被接受，我们将严格履行磋商文件中规定的每一项要求，按期、按质、按量履行合同的义务。</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3、我们已详细阅读全部磋商文件，包括更正公告(如有)，对磋商文件及更正公告(如有)无任何异议。我们完全理解并同意放弃对这方面有不明及误解的权力。</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4、我们同意按磋商文件中的规定，本响应文件的有效期限自提交响应文件截止时间之日起</w:t>
      </w:r>
      <w:r>
        <w:rPr>
          <w:rFonts w:hint="eastAsia" w:ascii="仿宋_GB2312" w:hAnsi="仿宋_GB2312" w:eastAsia="仿宋_GB2312" w:cs="仿宋_GB2312"/>
          <w:sz w:val="24"/>
          <w:u w:val="single"/>
        </w:rPr>
        <w:t xml:space="preserve"> 六十</w:t>
      </w:r>
      <w:r>
        <w:rPr>
          <w:rFonts w:hint="eastAsia" w:ascii="仿宋_GB2312" w:hAnsi="仿宋_GB2312" w:eastAsia="仿宋_GB2312" w:cs="仿宋_GB2312"/>
          <w:sz w:val="24"/>
        </w:rPr>
        <w:t>天。</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5、我们愿意提供磋商采购单位在磋商文件中要求的所有资料。</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6、我们承诺该响应文件在磋商开始后的全过程中保持有效，不作任何更改和变动。</w:t>
      </w: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7、我们承诺我公司符合磋商文件须知中“合格供应商”的要求，若与真实情况不符，本公司愿意承担由此而产生的一切后果。</w:t>
      </w:r>
    </w:p>
    <w:p>
      <w:pPr>
        <w:pStyle w:val="27"/>
        <w:spacing w:line="360" w:lineRule="auto"/>
        <w:ind w:firstLine="480" w:firstLineChars="200"/>
        <w:rPr>
          <w:rFonts w:ascii="仿宋_GB2312" w:hAnsi="仿宋_GB2312" w:eastAsia="仿宋_GB2312" w:cs="仿宋_GB2312"/>
          <w:b/>
          <w:bCs/>
          <w:sz w:val="24"/>
        </w:rPr>
      </w:pPr>
      <w:r>
        <w:rPr>
          <w:rFonts w:hint="eastAsia" w:ascii="仿宋_GB2312" w:hAnsi="仿宋_GB2312" w:eastAsia="仿宋_GB2312" w:cs="仿宋_GB2312"/>
          <w:sz w:val="24"/>
        </w:rPr>
        <w:t>8、我们愿意按磋商文件的规定交纳保证金，并同意其中关于保证金的相关规定。</w:t>
      </w:r>
    </w:p>
    <w:p>
      <w:pPr>
        <w:pStyle w:val="27"/>
        <w:spacing w:line="360" w:lineRule="auto"/>
        <w:ind w:firstLine="480" w:firstLineChars="200"/>
        <w:rPr>
          <w:rFonts w:ascii="仿宋_GB2312" w:hAnsi="仿宋_GB2312" w:eastAsia="仿宋_GB2312" w:cs="仿宋_GB2312"/>
          <w:sz w:val="24"/>
        </w:rPr>
      </w:pPr>
    </w:p>
    <w:p>
      <w:pPr>
        <w:pStyle w:val="27"/>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所有有关磋商文件的函电，请按下列地址联系：</w:t>
      </w:r>
    </w:p>
    <w:p>
      <w:pPr>
        <w:pStyle w:val="27"/>
        <w:spacing w:line="360" w:lineRule="auto"/>
        <w:rPr>
          <w:rFonts w:ascii="仿宋_GB2312" w:hAnsi="仿宋_GB2312" w:eastAsia="仿宋_GB2312" w:cs="仿宋_GB2312"/>
          <w:sz w:val="24"/>
          <w:u w:val="single"/>
        </w:rPr>
      </w:pPr>
      <w:r>
        <w:rPr>
          <w:rFonts w:hint="eastAsia" w:ascii="仿宋_GB2312" w:hAnsi="仿宋_GB2312" w:eastAsia="仿宋_GB2312" w:cs="仿宋_GB2312"/>
          <w:sz w:val="24"/>
        </w:rPr>
        <w:t>单位名称：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地址：</w:t>
      </w:r>
      <w:r>
        <w:rPr>
          <w:rFonts w:hint="eastAsia" w:ascii="仿宋_GB2312" w:hAnsi="仿宋_GB2312" w:eastAsia="仿宋_GB2312" w:cs="仿宋_GB2312"/>
          <w:sz w:val="24"/>
          <w:u w:val="single"/>
        </w:rPr>
        <w:t xml:space="preserve">                     </w:t>
      </w:r>
    </w:p>
    <w:p>
      <w:pPr>
        <w:pStyle w:val="27"/>
        <w:spacing w:line="360" w:lineRule="auto"/>
        <w:rPr>
          <w:rFonts w:ascii="仿宋_GB2312" w:hAnsi="仿宋_GB2312" w:eastAsia="仿宋_GB2312" w:cs="仿宋_GB2312"/>
          <w:sz w:val="24"/>
        </w:rPr>
      </w:pPr>
      <w:r>
        <w:rPr>
          <w:rFonts w:hint="eastAsia" w:ascii="仿宋_GB2312" w:hAnsi="仿宋_GB2312" w:eastAsia="仿宋_GB2312" w:cs="仿宋_GB2312"/>
          <w:sz w:val="24"/>
        </w:rPr>
        <w:t>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联系电话：</w:t>
      </w:r>
      <w:r>
        <w:rPr>
          <w:rFonts w:hint="eastAsia" w:ascii="仿宋_GB2312" w:hAnsi="仿宋_GB2312" w:eastAsia="仿宋_GB2312" w:cs="仿宋_GB2312"/>
          <w:sz w:val="24"/>
          <w:u w:val="single"/>
        </w:rPr>
        <w:t xml:space="preserve">                    </w:t>
      </w:r>
    </w:p>
    <w:p>
      <w:pPr>
        <w:pStyle w:val="27"/>
        <w:spacing w:line="360" w:lineRule="auto"/>
        <w:rPr>
          <w:rFonts w:ascii="仿宋_GB2312" w:hAnsi="仿宋_GB2312" w:eastAsia="仿宋_GB2312" w:cs="仿宋_GB2312"/>
          <w:sz w:val="24"/>
        </w:rPr>
      </w:pPr>
      <w:r>
        <w:rPr>
          <w:rFonts w:hint="eastAsia" w:ascii="仿宋_GB2312" w:hAnsi="仿宋_GB2312" w:eastAsia="仿宋_GB2312" w:cs="仿宋_GB2312"/>
          <w:sz w:val="24"/>
        </w:rPr>
        <w:t>邮政编码：</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传真：</w:t>
      </w:r>
      <w:r>
        <w:rPr>
          <w:rFonts w:hint="eastAsia" w:ascii="仿宋_GB2312" w:hAnsi="仿宋_GB2312" w:eastAsia="仿宋_GB2312" w:cs="仿宋_GB2312"/>
          <w:sz w:val="24"/>
          <w:u w:val="single"/>
        </w:rPr>
        <w:t xml:space="preserve">                      </w:t>
      </w:r>
    </w:p>
    <w:p>
      <w:pPr>
        <w:pStyle w:val="27"/>
        <w:spacing w:line="360" w:lineRule="auto"/>
        <w:ind w:firstLine="2891" w:firstLineChars="1200"/>
        <w:rPr>
          <w:rFonts w:ascii="仿宋_GB2312" w:hAnsi="仿宋_GB2312" w:eastAsia="仿宋_GB2312" w:cs="仿宋_GB2312"/>
          <w:b/>
          <w:bCs/>
          <w:sz w:val="24"/>
        </w:rPr>
      </w:pPr>
    </w:p>
    <w:p>
      <w:pPr>
        <w:pStyle w:val="27"/>
        <w:spacing w:line="360" w:lineRule="auto"/>
        <w:ind w:firstLine="2891" w:firstLineChars="1200"/>
        <w:rPr>
          <w:rFonts w:ascii="仿宋_GB2312" w:hAnsi="仿宋_GB2312" w:eastAsia="仿宋_GB2312" w:cs="仿宋_GB2312"/>
          <w:sz w:val="24"/>
        </w:rPr>
      </w:pPr>
      <w:r>
        <w:rPr>
          <w:rFonts w:hint="eastAsia" w:ascii="仿宋_GB2312" w:hAnsi="仿宋_GB2312" w:eastAsia="仿宋_GB2312" w:cs="仿宋_GB2312"/>
          <w:b/>
          <w:bCs/>
          <w:sz w:val="24"/>
        </w:rPr>
        <w:t>供应商：（公章）</w:t>
      </w:r>
      <w:r>
        <w:rPr>
          <w:rFonts w:hint="eastAsia" w:ascii="仿宋_GB2312" w:hAnsi="仿宋_GB2312" w:eastAsia="仿宋_GB2312" w:cs="仿宋_GB2312"/>
          <w:sz w:val="24"/>
          <w:u w:val="single"/>
        </w:rPr>
        <w:t xml:space="preserve">           </w:t>
      </w:r>
    </w:p>
    <w:p>
      <w:pPr>
        <w:pStyle w:val="27"/>
        <w:spacing w:line="360" w:lineRule="auto"/>
        <w:ind w:firstLine="2891" w:firstLineChars="1200"/>
        <w:rPr>
          <w:rFonts w:ascii="仿宋_GB2312" w:hAnsi="仿宋_GB2312" w:eastAsia="仿宋_GB2312" w:cs="仿宋_GB2312"/>
          <w:sz w:val="24"/>
        </w:rPr>
      </w:pPr>
      <w:r>
        <w:rPr>
          <w:rFonts w:hint="eastAsia" w:ascii="仿宋_GB2312" w:hAnsi="仿宋_GB2312" w:eastAsia="仿宋_GB2312" w:cs="仿宋_GB2312"/>
          <w:b/>
          <w:bCs/>
          <w:sz w:val="24"/>
        </w:rPr>
        <w:t>法定代表人或授权代理人：（签字或盖章）</w:t>
      </w:r>
      <w:r>
        <w:rPr>
          <w:rFonts w:hint="eastAsia" w:ascii="仿宋_GB2312" w:hAnsi="仿宋_GB2312" w:eastAsia="仿宋_GB2312" w:cs="仿宋_GB2312"/>
          <w:sz w:val="24"/>
          <w:u w:val="single"/>
        </w:rPr>
        <w:t xml:space="preserve">          </w:t>
      </w:r>
    </w:p>
    <w:p>
      <w:pPr>
        <w:pStyle w:val="27"/>
        <w:spacing w:line="360" w:lineRule="auto"/>
        <w:ind w:firstLine="2891" w:firstLineChars="1200"/>
        <w:rPr>
          <w:rFonts w:ascii="仿宋_GB2312" w:hAnsi="仿宋_GB2312" w:eastAsia="仿宋_GB2312" w:cs="仿宋_GB2312"/>
          <w:b/>
          <w:bCs/>
          <w:sz w:val="28"/>
          <w:szCs w:val="28"/>
        </w:rPr>
      </w:pPr>
      <w:r>
        <w:rPr>
          <w:rFonts w:hint="eastAsia" w:ascii="仿宋_GB2312" w:hAnsi="仿宋_GB2312" w:eastAsia="仿宋_GB2312" w:cs="仿宋_GB2312"/>
          <w:b/>
          <w:bCs/>
          <w:sz w:val="24"/>
        </w:rPr>
        <w:t>日期：</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附件3：</w:t>
      </w: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授权委托书</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本授权委托书声明：</w:t>
      </w:r>
    </w:p>
    <w:p>
      <w:pPr>
        <w:spacing w:line="360" w:lineRule="auto"/>
        <w:ind w:firstLine="560" w:firstLineChars="20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我（姓名）</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身份证号：</w:t>
      </w:r>
      <w:r>
        <w:rPr>
          <w:rFonts w:hint="eastAsia" w:ascii="仿宋_GB2312" w:hAnsi="仿宋_GB2312" w:eastAsia="仿宋_GB2312" w:cs="仿宋_GB2312"/>
          <w:sz w:val="28"/>
          <w:szCs w:val="28"/>
          <w:u w:val="single"/>
        </w:rPr>
        <w:t xml:space="preserve">                              </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系（供应商名称）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的法定代表人，现授权委托（供应商名称）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的（姓名）</w:t>
      </w:r>
      <w:r>
        <w:rPr>
          <w:rFonts w:hint="eastAsia" w:ascii="仿宋_GB2312" w:hAnsi="仿宋_GB2312" w:eastAsia="仿宋_GB2312" w:cs="仿宋_GB2312"/>
          <w:sz w:val="28"/>
          <w:szCs w:val="28"/>
          <w:u w:val="single"/>
        </w:rPr>
        <w:t xml:space="preserve">                </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为我公司授权代理人，以本公司的名义参加江苏张家港农村商业银行股份有限公司组织实施的项目编号为</w:t>
      </w:r>
      <w:r>
        <w:rPr>
          <w:rFonts w:hint="eastAsia" w:ascii="仿宋_GB2312" w:hAnsi="仿宋_GB2312" w:eastAsia="仿宋_GB2312" w:cs="仿宋_GB2312"/>
          <w:sz w:val="28"/>
          <w:szCs w:val="28"/>
          <w:highlight w:val="none"/>
          <w:u w:val="single"/>
        </w:rPr>
        <w:t>ZJGRCB2020</w:t>
      </w:r>
      <w:r>
        <w:rPr>
          <w:rFonts w:hint="eastAsia" w:ascii="仿宋_GB2312" w:hAnsi="仿宋_GB2312" w:eastAsia="仿宋_GB2312" w:cs="仿宋_GB2312"/>
          <w:sz w:val="28"/>
          <w:szCs w:val="28"/>
          <w:highlight w:val="none"/>
          <w:u w:val="single"/>
          <w:lang w:val="en-US" w:eastAsia="zh-CN"/>
        </w:rPr>
        <w:t>1009</w:t>
      </w:r>
      <w:r>
        <w:rPr>
          <w:rFonts w:hint="eastAsia" w:ascii="仿宋_GB2312" w:hAnsi="仿宋_GB2312" w:eastAsia="仿宋_GB2312" w:cs="仿宋_GB2312"/>
          <w:sz w:val="28"/>
          <w:szCs w:val="28"/>
        </w:rPr>
        <w:t>（新一代</w:t>
      </w:r>
      <w:r>
        <w:rPr>
          <w:rFonts w:hint="eastAsia" w:ascii="仿宋_GB2312" w:hAnsi="仿宋_GB2312" w:eastAsia="仿宋_GB2312" w:cs="仿宋_GB2312"/>
          <w:snapToGrid w:val="0"/>
          <w:sz w:val="28"/>
          <w:szCs w:val="28"/>
        </w:rPr>
        <w:t>信贷系统PMO</w:t>
      </w:r>
      <w:r>
        <w:rPr>
          <w:rFonts w:hint="eastAsia" w:ascii="仿宋_GB2312" w:hAnsi="仿宋_GB2312" w:eastAsia="仿宋_GB2312" w:cs="仿宋_GB2312"/>
          <w:snapToGrid w:val="0"/>
          <w:sz w:val="28"/>
          <w:szCs w:val="28"/>
          <w:lang w:eastAsia="zh-CN"/>
        </w:rPr>
        <w:t>管理模式</w:t>
      </w:r>
      <w:r>
        <w:rPr>
          <w:rFonts w:hint="eastAsia" w:ascii="仿宋_GB2312" w:hAnsi="仿宋_GB2312" w:eastAsia="仿宋_GB2312" w:cs="仿宋_GB2312"/>
          <w:snapToGrid w:val="0"/>
          <w:sz w:val="28"/>
          <w:szCs w:val="28"/>
        </w:rPr>
        <w:t>项目</w:t>
      </w:r>
      <w:r>
        <w:rPr>
          <w:rFonts w:hint="eastAsia" w:ascii="仿宋_GB2312" w:hAnsi="仿宋_GB2312" w:eastAsia="仿宋_GB2312" w:cs="仿宋_GB2312"/>
          <w:sz w:val="28"/>
          <w:szCs w:val="28"/>
        </w:rPr>
        <w:t>）的竞争性磋商活动。授权代理人在磋商活动过程、合同谈判过程中所签署的一切文件和处理与这有关的一切事务，我均予以承认。</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授权代理人在授权委托书有效期内签署的所有文件不因授权委托的撤销而失效，除非有撤销授权委托的书面通知，本授权委托书自磋商活动开始至合同履行完毕止。</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授权代理人无转委托权。特此委托。</w:t>
      </w:r>
    </w:p>
    <w:p>
      <w:pPr>
        <w:spacing w:line="360" w:lineRule="auto"/>
        <w:rPr>
          <w:rFonts w:ascii="仿宋_GB2312" w:hAnsi="仿宋_GB2312" w:eastAsia="仿宋_GB2312" w:cs="仿宋_GB2312"/>
          <w:sz w:val="28"/>
          <w:szCs w:val="28"/>
        </w:rPr>
      </w:pPr>
    </w:p>
    <w:p>
      <w:pPr>
        <w:spacing w:line="360" w:lineRule="auto"/>
        <w:rPr>
          <w:rFonts w:ascii="仿宋_GB2312" w:hAnsi="仿宋_GB2312" w:eastAsia="仿宋_GB2312" w:cs="仿宋_GB2312"/>
          <w:sz w:val="28"/>
          <w:szCs w:val="28"/>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供应商：（盖公章）</w:t>
      </w:r>
      <w:r>
        <w:rPr>
          <w:rFonts w:hint="eastAsia" w:ascii="仿宋_GB2312" w:hAnsi="仿宋_GB2312" w:eastAsia="仿宋_GB2312" w:cs="仿宋_GB2312"/>
          <w:sz w:val="28"/>
          <w:szCs w:val="28"/>
          <w:u w:val="single"/>
        </w:rPr>
        <w:t xml:space="preserve">                                  </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法定代表人：（签字或盖章）</w:t>
      </w:r>
      <w:r>
        <w:rPr>
          <w:rFonts w:hint="eastAsia" w:ascii="仿宋_GB2312" w:hAnsi="仿宋_GB2312" w:eastAsia="仿宋_GB2312" w:cs="仿宋_GB2312"/>
          <w:sz w:val="28"/>
          <w:szCs w:val="28"/>
          <w:u w:val="single"/>
        </w:rPr>
        <w:t xml:space="preserve">                        </w:t>
      </w:r>
    </w:p>
    <w:p>
      <w:pPr>
        <w:spacing w:line="360" w:lineRule="auto"/>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授权代理人：（签字或盖章）</w:t>
      </w:r>
      <w:r>
        <w:rPr>
          <w:rFonts w:hint="eastAsia" w:ascii="仿宋_GB2312" w:hAnsi="仿宋_GB2312" w:eastAsia="仿宋_GB2312" w:cs="仿宋_GB2312"/>
          <w:sz w:val="28"/>
          <w:szCs w:val="28"/>
          <w:u w:val="single"/>
        </w:rPr>
        <w:t xml:space="preserve">                           </w:t>
      </w:r>
    </w:p>
    <w:p>
      <w:pPr>
        <w:spacing w:line="360" w:lineRule="auto"/>
        <w:rPr>
          <w:rFonts w:ascii="仿宋_GB2312" w:hAnsi="仿宋_GB2312" w:eastAsia="仿宋_GB2312" w:cs="仿宋_GB2312"/>
          <w:sz w:val="28"/>
          <w:szCs w:val="28"/>
        </w:rPr>
        <w:sectPr>
          <w:pgSz w:w="11906" w:h="16838"/>
          <w:pgMar w:top="1361" w:right="1080" w:bottom="1361" w:left="1080" w:header="851" w:footer="992" w:gutter="0"/>
          <w:cols w:space="720" w:num="1"/>
          <w:docGrid w:type="lines" w:linePitch="312" w:charSpace="0"/>
        </w:sect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附件4：</w:t>
      </w: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身份证复印件</w:t>
      </w:r>
    </w:p>
    <w:p>
      <w:pPr>
        <w:ind w:firstLine="560" w:firstLineChars="200"/>
        <w:rPr>
          <w:rFonts w:ascii="仿宋_GB2312" w:hAnsi="仿宋_GB2312" w:eastAsia="仿宋_GB2312" w:cs="仿宋_GB2312"/>
          <w:kern w:val="0"/>
          <w:sz w:val="28"/>
          <w:szCs w:val="28"/>
        </w:rPr>
      </w:pPr>
    </w:p>
    <w:p>
      <w:pPr>
        <w:numPr>
          <w:ilvl w:val="0"/>
          <w:numId w:val="12"/>
        </w:num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法定代表人身份证复印件，并加盖单位公章。</w:t>
      </w:r>
    </w:p>
    <w:p>
      <w:pPr>
        <w:numPr>
          <w:ilvl w:val="0"/>
          <w:numId w:val="12"/>
        </w:num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授权代理人身份证复印件，并加盖单位公章。</w:t>
      </w: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sectPr>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附件5：</w:t>
      </w:r>
    </w:p>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关于资格文件的声明函</w:t>
      </w:r>
    </w:p>
    <w:p>
      <w:pPr>
        <w:pStyle w:val="8"/>
        <w:spacing w:line="360" w:lineRule="auto"/>
        <w:ind w:firstLine="0"/>
        <w:outlineLvl w:val="1"/>
        <w:rPr>
          <w:rFonts w:ascii="仿宋_GB2312" w:hAnsi="仿宋_GB2312" w:eastAsia="仿宋_GB2312" w:cs="仿宋_GB2312"/>
          <w:sz w:val="28"/>
        </w:rPr>
      </w:pPr>
      <w:r>
        <w:rPr>
          <w:rFonts w:hint="eastAsia" w:ascii="仿宋_GB2312" w:hAnsi="仿宋_GB2312" w:eastAsia="仿宋_GB2312" w:cs="仿宋_GB2312"/>
          <w:sz w:val="28"/>
          <w:u w:val="single"/>
        </w:rPr>
        <w:t>江苏张家港农村商业银行股份有限公司</w:t>
      </w:r>
      <w:r>
        <w:rPr>
          <w:rFonts w:hint="eastAsia" w:ascii="仿宋_GB2312" w:hAnsi="仿宋_GB2312" w:eastAsia="仿宋_GB2312" w:cs="仿宋_GB2312"/>
          <w:sz w:val="28"/>
        </w:rPr>
        <w:t>：</w:t>
      </w:r>
    </w:p>
    <w:p>
      <w:pPr>
        <w:pStyle w:val="8"/>
        <w:spacing w:line="360" w:lineRule="auto"/>
        <w:ind w:firstLine="560" w:firstLineChars="200"/>
        <w:outlineLvl w:val="1"/>
        <w:rPr>
          <w:rFonts w:ascii="仿宋_GB2312" w:hAnsi="仿宋_GB2312" w:eastAsia="仿宋_GB2312" w:cs="仿宋_GB2312"/>
          <w:sz w:val="28"/>
        </w:rPr>
      </w:pPr>
      <w:r>
        <w:rPr>
          <w:rFonts w:hint="eastAsia" w:ascii="仿宋_GB2312" w:hAnsi="仿宋_GB2312" w:eastAsia="仿宋_GB2312" w:cs="仿宋_GB2312"/>
          <w:sz w:val="28"/>
        </w:rPr>
        <w:t>本公司愿就由贵公司组织实施的</w:t>
      </w:r>
      <w:r>
        <w:rPr>
          <w:rFonts w:hint="eastAsia" w:ascii="仿宋_GB2312" w:hAnsi="仿宋_GB2312" w:eastAsia="仿宋_GB2312" w:cs="仿宋_GB2312"/>
          <w:sz w:val="28"/>
          <w:u w:val="single"/>
        </w:rPr>
        <w:t>“江苏张家港农村商业银行股份有限公司</w:t>
      </w:r>
      <w:r>
        <w:rPr>
          <w:rFonts w:hint="eastAsia" w:ascii="仿宋_GB2312" w:hAnsi="仿宋_GB2312" w:eastAsia="仿宋_GB2312" w:cs="仿宋_GB2312"/>
          <w:snapToGrid w:val="0"/>
          <w:sz w:val="28"/>
          <w:szCs w:val="28"/>
          <w:u w:val="single"/>
        </w:rPr>
        <w:t>新一代信贷系统PMO</w:t>
      </w:r>
      <w:r>
        <w:rPr>
          <w:rFonts w:hint="eastAsia" w:ascii="仿宋_GB2312" w:hAnsi="仿宋_GB2312" w:eastAsia="仿宋_GB2312" w:cs="仿宋_GB2312"/>
          <w:snapToGrid w:val="0"/>
          <w:sz w:val="28"/>
          <w:szCs w:val="28"/>
          <w:u w:val="single"/>
          <w:lang w:eastAsia="zh-CN"/>
        </w:rPr>
        <w:t>管理模式</w:t>
      </w:r>
      <w:r>
        <w:rPr>
          <w:rFonts w:hint="eastAsia" w:ascii="仿宋_GB2312" w:hAnsi="仿宋_GB2312" w:eastAsia="仿宋_GB2312" w:cs="仿宋_GB2312"/>
          <w:snapToGrid w:val="0"/>
          <w:sz w:val="28"/>
          <w:szCs w:val="28"/>
          <w:u w:val="single"/>
        </w:rPr>
        <w:t>项目</w:t>
      </w:r>
      <w:r>
        <w:rPr>
          <w:rFonts w:hint="eastAsia" w:ascii="仿宋_GB2312" w:hAnsi="仿宋_GB2312" w:eastAsia="仿宋_GB2312" w:cs="仿宋_GB2312"/>
          <w:sz w:val="28"/>
          <w:u w:val="single"/>
        </w:rPr>
        <w:t>”（项目编号：ZJGRCB2020</w:t>
      </w:r>
      <w:r>
        <w:rPr>
          <w:rFonts w:hint="eastAsia" w:ascii="仿宋_GB2312" w:hAnsi="仿宋_GB2312" w:eastAsia="仿宋_GB2312" w:cs="仿宋_GB2312"/>
          <w:sz w:val="28"/>
          <w:u w:val="single"/>
          <w:lang w:val="en-US" w:eastAsia="zh-CN"/>
        </w:rPr>
        <w:t>1009</w:t>
      </w:r>
      <w:r>
        <w:rPr>
          <w:rFonts w:hint="eastAsia" w:ascii="仿宋_GB2312" w:hAnsi="仿宋_GB2312" w:eastAsia="仿宋_GB2312" w:cs="仿宋_GB2312"/>
          <w:sz w:val="28"/>
          <w:u w:val="single"/>
        </w:rPr>
        <w:t>）</w:t>
      </w:r>
      <w:r>
        <w:rPr>
          <w:rFonts w:hint="eastAsia" w:ascii="仿宋_GB2312" w:hAnsi="仿宋_GB2312" w:eastAsia="仿宋_GB2312" w:cs="仿宋_GB2312"/>
          <w:sz w:val="28"/>
        </w:rPr>
        <w:t>的采购活动进行竞争性磋商。本公司所提交的商务、技术及报价文件中所有关于磋商资格的文件、证明和陈述均是真实的、准确的。若与真实情况不符，本公司愿意承担由此而产生的一切后果。</w:t>
      </w:r>
    </w:p>
    <w:p>
      <w:pPr>
        <w:pStyle w:val="8"/>
        <w:overflowPunct w:val="0"/>
        <w:spacing w:line="360" w:lineRule="auto"/>
        <w:ind w:firstLine="0"/>
        <w:outlineLvl w:val="1"/>
        <w:rPr>
          <w:rFonts w:ascii="仿宋_GB2312" w:hAnsi="仿宋_GB2312" w:eastAsia="仿宋_GB2312" w:cs="仿宋_GB2312"/>
          <w:sz w:val="28"/>
        </w:rPr>
      </w:pPr>
    </w:p>
    <w:p>
      <w:pPr>
        <w:pStyle w:val="8"/>
        <w:overflowPunct w:val="0"/>
        <w:spacing w:line="360" w:lineRule="auto"/>
        <w:ind w:firstLine="0"/>
        <w:outlineLvl w:val="1"/>
        <w:rPr>
          <w:rFonts w:ascii="仿宋_GB2312" w:hAnsi="仿宋_GB2312" w:eastAsia="仿宋_GB2312" w:cs="仿宋_GB2312"/>
          <w:sz w:val="28"/>
        </w:rPr>
      </w:pPr>
    </w:p>
    <w:p>
      <w:pPr>
        <w:pStyle w:val="8"/>
        <w:overflowPunct w:val="0"/>
        <w:spacing w:line="360" w:lineRule="auto"/>
        <w:ind w:firstLine="0"/>
        <w:outlineLvl w:val="1"/>
        <w:rPr>
          <w:rFonts w:ascii="仿宋_GB2312" w:hAnsi="仿宋_GB2312" w:eastAsia="仿宋_GB2312" w:cs="仿宋_GB2312"/>
          <w:sz w:val="28"/>
        </w:rPr>
      </w:pPr>
      <w:r>
        <w:rPr>
          <w:rFonts w:hint="eastAsia" w:ascii="仿宋_GB2312" w:hAnsi="仿宋_GB2312" w:eastAsia="仿宋_GB2312" w:cs="仿宋_GB2312"/>
          <w:sz w:val="28"/>
        </w:rPr>
        <w:t>供应商：（单位盖章）</w:t>
      </w:r>
      <w:r>
        <w:rPr>
          <w:rFonts w:hint="eastAsia" w:ascii="仿宋_GB2312" w:hAnsi="仿宋_GB2312" w:eastAsia="仿宋_GB2312" w:cs="仿宋_GB2312"/>
          <w:sz w:val="28"/>
          <w:u w:val="single"/>
        </w:rPr>
        <w:t xml:space="preserve">                                       </w:t>
      </w:r>
    </w:p>
    <w:p>
      <w:pPr>
        <w:pStyle w:val="8"/>
        <w:overflowPunct w:val="0"/>
        <w:spacing w:line="360" w:lineRule="auto"/>
        <w:ind w:firstLine="0"/>
        <w:outlineLvl w:val="1"/>
        <w:rPr>
          <w:rFonts w:ascii="仿宋_GB2312" w:hAnsi="仿宋_GB2312" w:eastAsia="仿宋_GB2312" w:cs="仿宋_GB2312"/>
          <w:sz w:val="28"/>
          <w:u w:val="single"/>
        </w:rPr>
      </w:pPr>
      <w:r>
        <w:rPr>
          <w:rFonts w:hint="eastAsia" w:ascii="仿宋_GB2312" w:hAnsi="仿宋_GB2312" w:eastAsia="仿宋_GB2312" w:cs="仿宋_GB2312"/>
          <w:sz w:val="28"/>
        </w:rPr>
        <w:t>法定代表人或授权代理人：（签字或盖章）</w:t>
      </w:r>
      <w:r>
        <w:rPr>
          <w:rFonts w:hint="eastAsia" w:ascii="仿宋_GB2312" w:hAnsi="仿宋_GB2312" w:eastAsia="仿宋_GB2312" w:cs="仿宋_GB2312"/>
          <w:sz w:val="28"/>
          <w:u w:val="single"/>
        </w:rPr>
        <w:t xml:space="preserve">                      </w:t>
      </w:r>
    </w:p>
    <w:p>
      <w:pPr>
        <w:pStyle w:val="8"/>
        <w:overflowPunct w:val="0"/>
        <w:spacing w:line="360" w:lineRule="auto"/>
        <w:ind w:firstLine="0"/>
        <w:outlineLvl w:val="1"/>
        <w:rPr>
          <w:rFonts w:ascii="仿宋_GB2312" w:hAnsi="仿宋_GB2312" w:eastAsia="仿宋_GB2312" w:cs="仿宋_GB2312"/>
          <w:sz w:val="28"/>
        </w:rPr>
      </w:pPr>
      <w:r>
        <w:rPr>
          <w:rFonts w:hint="eastAsia" w:ascii="仿宋_GB2312" w:hAnsi="仿宋_GB2312" w:eastAsia="仿宋_GB2312" w:cs="仿宋_GB2312"/>
          <w:sz w:val="28"/>
        </w:rPr>
        <w:t>日期：</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sz w:val="28"/>
        </w:rPr>
        <w:t>年</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sz w:val="28"/>
        </w:rPr>
        <w:t>月</w:t>
      </w:r>
      <w:r>
        <w:rPr>
          <w:rFonts w:hint="eastAsia" w:ascii="仿宋_GB2312" w:hAnsi="仿宋_GB2312" w:eastAsia="仿宋_GB2312" w:cs="仿宋_GB2312"/>
          <w:sz w:val="28"/>
          <w:u w:val="single"/>
        </w:rPr>
        <w:t xml:space="preserve">     </w:t>
      </w:r>
      <w:r>
        <w:rPr>
          <w:rFonts w:hint="eastAsia" w:ascii="仿宋_GB2312" w:hAnsi="仿宋_GB2312" w:eastAsia="仿宋_GB2312" w:cs="仿宋_GB2312"/>
          <w:sz w:val="28"/>
        </w:rPr>
        <w:t>日</w:t>
      </w:r>
    </w:p>
    <w:p>
      <w:pPr>
        <w:rPr>
          <w:rFonts w:ascii="仿宋_GB2312" w:hAnsi="仿宋_GB2312" w:eastAsia="仿宋_GB2312" w:cs="仿宋_GB2312"/>
          <w:sz w:val="28"/>
          <w:szCs w:val="28"/>
        </w:rPr>
      </w:pPr>
    </w:p>
    <w:p>
      <w:pPr>
        <w:pStyle w:val="24"/>
        <w:ind w:firstLine="0" w:firstLineChars="0"/>
        <w:rPr>
          <w:rFonts w:ascii="仿宋_GB2312" w:hAnsi="仿宋_GB2312" w:eastAsia="仿宋_GB2312" w:cs="仿宋_GB2312"/>
          <w:b/>
          <w:bCs/>
          <w:sz w:val="28"/>
          <w:szCs w:val="28"/>
        </w:rPr>
      </w:pPr>
    </w:p>
    <w:p>
      <w:pPr>
        <w:pStyle w:val="24"/>
        <w:ind w:firstLine="0" w:firstLineChars="0"/>
        <w:rPr>
          <w:rFonts w:ascii="仿宋_GB2312" w:hAnsi="仿宋_GB2312" w:eastAsia="仿宋_GB2312" w:cs="仿宋_GB2312"/>
          <w:b/>
          <w:bCs/>
          <w:sz w:val="28"/>
          <w:szCs w:val="28"/>
        </w:rPr>
      </w:pPr>
    </w:p>
    <w:p>
      <w:pPr>
        <w:pStyle w:val="24"/>
        <w:ind w:firstLine="0" w:firstLineChars="0"/>
        <w:rPr>
          <w:rFonts w:ascii="仿宋_GB2312" w:hAnsi="仿宋_GB2312" w:eastAsia="仿宋_GB2312" w:cs="仿宋_GB2312"/>
          <w:b/>
          <w:bCs/>
          <w:sz w:val="28"/>
          <w:szCs w:val="28"/>
        </w:rPr>
        <w:sectPr>
          <w:headerReference r:id="rId4" w:type="default"/>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附件6：</w:t>
      </w:r>
    </w:p>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退保证金声明函</w:t>
      </w:r>
    </w:p>
    <w:p>
      <w:pPr>
        <w:jc w:val="center"/>
        <w:rPr>
          <w:rFonts w:ascii="仿宋_GB2312" w:hAnsi="仿宋_GB2312" w:eastAsia="仿宋_GB2312" w:cs="仿宋_GB2312"/>
          <w:sz w:val="28"/>
          <w:szCs w:val="28"/>
        </w:rPr>
      </w:pPr>
    </w:p>
    <w:p>
      <w:pPr>
        <w:rPr>
          <w:rFonts w:ascii="仿宋_GB2312" w:hAnsi="仿宋_GB2312" w:eastAsia="仿宋_GB2312" w:cs="仿宋_GB2312"/>
          <w:sz w:val="28"/>
          <w:szCs w:val="28"/>
        </w:rPr>
      </w:pPr>
      <w:r>
        <w:rPr>
          <w:rFonts w:hint="eastAsia" w:ascii="仿宋_GB2312" w:hAnsi="仿宋_GB2312" w:eastAsia="仿宋_GB2312" w:cs="仿宋_GB2312"/>
          <w:snapToGrid w:val="0"/>
          <w:sz w:val="28"/>
          <w:szCs w:val="28"/>
          <w:u w:val="single"/>
        </w:rPr>
        <w:t>江苏张家港农村商业银行股份有限公司</w:t>
      </w:r>
      <w:r>
        <w:rPr>
          <w:rFonts w:hint="eastAsia" w:ascii="仿宋_GB2312" w:hAnsi="仿宋_GB2312" w:eastAsia="仿宋_GB2312" w:cs="仿宋_GB2312"/>
          <w:sz w:val="28"/>
          <w:szCs w:val="28"/>
        </w:rPr>
        <w:t>：</w:t>
      </w:r>
    </w:p>
    <w:p>
      <w:pPr>
        <w:ind w:firstLine="478" w:firstLineChars="171"/>
        <w:rPr>
          <w:rFonts w:ascii="仿宋_GB2312" w:hAnsi="仿宋_GB2312" w:eastAsia="仿宋_GB2312" w:cs="仿宋_GB2312"/>
          <w:sz w:val="28"/>
          <w:szCs w:val="28"/>
        </w:rPr>
      </w:pPr>
      <w:r>
        <w:rPr>
          <w:rFonts w:hint="eastAsia" w:ascii="仿宋_GB2312" w:hAnsi="仿宋_GB2312" w:eastAsia="仿宋_GB2312" w:cs="仿宋_GB2312"/>
          <w:sz w:val="28"/>
          <w:szCs w:val="28"/>
        </w:rPr>
        <w:t>我方为贵单位“</w:t>
      </w:r>
      <w:r>
        <w:rPr>
          <w:rFonts w:hint="eastAsia" w:ascii="仿宋_GB2312" w:hAnsi="仿宋_GB2312" w:eastAsia="仿宋_GB2312" w:cs="仿宋_GB2312"/>
          <w:sz w:val="28"/>
          <w:u w:val="single"/>
        </w:rPr>
        <w:t>江苏张家港农村商业银行股份有限公司</w:t>
      </w:r>
      <w:r>
        <w:rPr>
          <w:rFonts w:hint="eastAsia" w:ascii="仿宋_GB2312" w:hAnsi="仿宋_GB2312" w:eastAsia="仿宋_GB2312" w:cs="仿宋_GB2312"/>
          <w:snapToGrid w:val="0"/>
          <w:sz w:val="28"/>
          <w:szCs w:val="28"/>
          <w:u w:val="single"/>
        </w:rPr>
        <w:t>新一代信贷系统PMO</w:t>
      </w:r>
      <w:r>
        <w:rPr>
          <w:rFonts w:hint="eastAsia" w:ascii="仿宋_GB2312" w:hAnsi="仿宋_GB2312" w:eastAsia="仿宋_GB2312" w:cs="仿宋_GB2312"/>
          <w:snapToGrid w:val="0"/>
          <w:sz w:val="28"/>
          <w:szCs w:val="28"/>
          <w:u w:val="single"/>
          <w:lang w:eastAsia="zh-CN"/>
        </w:rPr>
        <w:t>管理模式</w:t>
      </w:r>
      <w:r>
        <w:rPr>
          <w:rFonts w:hint="eastAsia" w:ascii="仿宋_GB2312" w:hAnsi="仿宋_GB2312" w:eastAsia="仿宋_GB2312" w:cs="仿宋_GB2312"/>
          <w:snapToGrid w:val="0"/>
          <w:sz w:val="28"/>
          <w:szCs w:val="28"/>
          <w:u w:val="single"/>
        </w:rPr>
        <w:t>项目</w:t>
      </w:r>
      <w:r>
        <w:rPr>
          <w:rFonts w:hint="eastAsia" w:ascii="仿宋_GB2312" w:hAnsi="仿宋_GB2312" w:eastAsia="仿宋_GB2312" w:cs="仿宋_GB2312"/>
          <w:sz w:val="28"/>
          <w:szCs w:val="28"/>
          <w:u w:val="single"/>
        </w:rPr>
        <w:t>”（项目编号：</w:t>
      </w:r>
      <w:r>
        <w:rPr>
          <w:rFonts w:hint="eastAsia" w:ascii="仿宋_GB2312" w:hAnsi="仿宋_GB2312" w:eastAsia="仿宋_GB2312" w:cs="仿宋_GB2312"/>
          <w:color w:val="000000"/>
          <w:sz w:val="28"/>
          <w:szCs w:val="40"/>
          <w:u w:val="single"/>
        </w:rPr>
        <w:t>ZJGRCB2020</w:t>
      </w:r>
      <w:r>
        <w:rPr>
          <w:rFonts w:hint="eastAsia" w:ascii="仿宋_GB2312" w:hAnsi="仿宋_GB2312" w:eastAsia="仿宋_GB2312" w:cs="仿宋_GB2312"/>
          <w:color w:val="000000"/>
          <w:sz w:val="28"/>
          <w:szCs w:val="40"/>
          <w:u w:val="single"/>
          <w:lang w:val="en-US" w:eastAsia="zh-CN"/>
        </w:rPr>
        <w:t>1009</w:t>
      </w:r>
      <w:r>
        <w:rPr>
          <w:rFonts w:hint="eastAsia" w:ascii="仿宋_GB2312" w:hAnsi="仿宋_GB2312" w:eastAsia="仿宋_GB2312" w:cs="仿宋_GB2312"/>
          <w:sz w:val="28"/>
          <w:szCs w:val="28"/>
          <w:u w:val="single"/>
        </w:rPr>
        <w:t>）</w:t>
      </w:r>
      <w:r>
        <w:rPr>
          <w:rFonts w:hint="eastAsia" w:ascii="仿宋_GB2312" w:hAnsi="仿宋_GB2312" w:eastAsia="仿宋_GB2312" w:cs="仿宋_GB2312"/>
          <w:sz w:val="28"/>
          <w:szCs w:val="28"/>
        </w:rPr>
        <w:t>所提交的磋商保证金人民币</w:t>
      </w:r>
      <w:r>
        <w:rPr>
          <w:rFonts w:hint="eastAsia" w:ascii="仿宋_GB2312" w:hAnsi="仿宋_GB2312" w:eastAsia="仿宋_GB2312" w:cs="仿宋_GB2312"/>
          <w:sz w:val="28"/>
          <w:szCs w:val="28"/>
          <w:u w:val="single"/>
        </w:rPr>
        <w:t>30000</w:t>
      </w:r>
      <w:r>
        <w:rPr>
          <w:rFonts w:hint="eastAsia" w:ascii="仿宋_GB2312" w:hAnsi="仿宋_GB2312" w:eastAsia="仿宋_GB2312" w:cs="仿宋_GB2312"/>
          <w:b/>
          <w:bCs/>
          <w:sz w:val="28"/>
          <w:szCs w:val="28"/>
          <w:u w:val="single"/>
        </w:rPr>
        <w:t>元</w:t>
      </w:r>
      <w:r>
        <w:rPr>
          <w:rFonts w:hint="eastAsia" w:ascii="仿宋_GB2312" w:hAnsi="仿宋_GB2312" w:eastAsia="仿宋_GB2312" w:cs="仿宋_GB2312"/>
          <w:sz w:val="28"/>
          <w:szCs w:val="28"/>
        </w:rPr>
        <w:t>整，请退还时汇到以下帐户：</w:t>
      </w:r>
    </w:p>
    <w:p>
      <w:pPr>
        <w:pStyle w:val="27"/>
        <w:spacing w:line="360" w:lineRule="auto"/>
        <w:ind w:firstLine="480"/>
        <w:rPr>
          <w:rFonts w:ascii="仿宋_GB2312" w:hAnsi="仿宋_GB2312" w:eastAsia="仿宋_GB2312" w:cs="仿宋_GB2312"/>
          <w:sz w:val="28"/>
          <w:szCs w:val="28"/>
        </w:rPr>
      </w:pPr>
      <w:r>
        <w:rPr>
          <w:rFonts w:hint="eastAsia" w:ascii="仿宋_GB2312" w:hAnsi="仿宋_GB2312" w:eastAsia="仿宋_GB2312" w:cs="仿宋_GB2312"/>
          <w:sz w:val="28"/>
          <w:szCs w:val="28"/>
        </w:rPr>
        <w:t>户      名：</w:t>
      </w:r>
      <w:r>
        <w:rPr>
          <w:rFonts w:hint="eastAsia" w:ascii="仿宋_GB2312" w:hAnsi="仿宋_GB2312" w:eastAsia="仿宋_GB2312" w:cs="仿宋_GB2312"/>
          <w:sz w:val="28"/>
          <w:szCs w:val="28"/>
          <w:u w:val="single"/>
        </w:rPr>
        <w:t xml:space="preserve">                          </w:t>
      </w:r>
    </w:p>
    <w:p>
      <w:pPr>
        <w:pStyle w:val="27"/>
        <w:spacing w:line="360" w:lineRule="auto"/>
        <w:ind w:firstLine="480"/>
        <w:rPr>
          <w:rFonts w:ascii="仿宋_GB2312" w:hAnsi="仿宋_GB2312" w:eastAsia="仿宋_GB2312" w:cs="仿宋_GB2312"/>
          <w:sz w:val="28"/>
          <w:szCs w:val="28"/>
        </w:rPr>
      </w:pPr>
      <w:r>
        <w:rPr>
          <w:rFonts w:hint="eastAsia" w:ascii="仿宋_GB2312" w:hAnsi="仿宋_GB2312" w:eastAsia="仿宋_GB2312" w:cs="仿宋_GB2312"/>
          <w:sz w:val="28"/>
          <w:szCs w:val="28"/>
        </w:rPr>
        <w:t>开户行名称：</w:t>
      </w:r>
      <w:r>
        <w:rPr>
          <w:rFonts w:hint="eastAsia" w:ascii="仿宋_GB2312" w:hAnsi="仿宋_GB2312" w:eastAsia="仿宋_GB2312" w:cs="仿宋_GB2312"/>
          <w:sz w:val="28"/>
          <w:szCs w:val="28"/>
          <w:u w:val="single"/>
        </w:rPr>
        <w:t xml:space="preserve">                          </w:t>
      </w:r>
    </w:p>
    <w:p>
      <w:pPr>
        <w:pStyle w:val="27"/>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银 行 账 号：</w:t>
      </w:r>
      <w:r>
        <w:rPr>
          <w:rFonts w:hint="eastAsia" w:ascii="仿宋_GB2312" w:hAnsi="仿宋_GB2312" w:eastAsia="仿宋_GB2312" w:cs="仿宋_GB2312"/>
          <w:sz w:val="28"/>
          <w:szCs w:val="28"/>
          <w:u w:val="single"/>
        </w:rPr>
        <w:t xml:space="preserve">                         </w:t>
      </w:r>
    </w:p>
    <w:p>
      <w:pPr>
        <w:autoSpaceDE w:val="0"/>
        <w:autoSpaceDN w:val="0"/>
        <w:adjustRightInd w:val="0"/>
        <w:spacing w:line="360" w:lineRule="auto"/>
        <w:ind w:firstLine="465"/>
        <w:rPr>
          <w:rFonts w:ascii="仿宋_GB2312" w:hAnsi="仿宋_GB2312" w:eastAsia="仿宋_GB2312" w:cs="仿宋_GB2312"/>
          <w:sz w:val="28"/>
          <w:szCs w:val="28"/>
        </w:rPr>
      </w:pPr>
      <w:r>
        <w:rPr>
          <w:rFonts w:hint="eastAsia" w:ascii="仿宋_GB2312" w:hAnsi="仿宋_GB2312" w:eastAsia="仿宋_GB2312" w:cs="仿宋_GB2312"/>
          <w:sz w:val="28"/>
          <w:szCs w:val="28"/>
        </w:rPr>
        <w:t>以上信息供贵单位退还保证金时使用，我司保证以上信息正确。如因上述信息错误导致贵单位无法及时退还保证金的，我司自行承担责任。</w:t>
      </w:r>
    </w:p>
    <w:p>
      <w:pPr>
        <w:rPr>
          <w:rFonts w:ascii="仿宋_GB2312" w:hAnsi="仿宋_GB2312" w:eastAsia="仿宋_GB2312" w:cs="仿宋_GB2312"/>
          <w:sz w:val="28"/>
          <w:szCs w:val="28"/>
        </w:rPr>
      </w:pPr>
    </w:p>
    <w:p>
      <w:pPr>
        <w:rPr>
          <w:rFonts w:ascii="仿宋_GB2312" w:hAnsi="仿宋_GB2312" w:eastAsia="仿宋_GB2312" w:cs="仿宋_GB2312"/>
          <w:sz w:val="28"/>
          <w:szCs w:val="28"/>
        </w:rPr>
      </w:pPr>
    </w:p>
    <w:p>
      <w:pPr>
        <w:ind w:firstLine="3360" w:firstLineChars="1200"/>
        <w:rPr>
          <w:rFonts w:ascii="仿宋_GB2312" w:hAnsi="仿宋_GB2312" w:eastAsia="仿宋_GB2312" w:cs="仿宋_GB2312"/>
          <w:sz w:val="28"/>
          <w:szCs w:val="28"/>
        </w:rPr>
      </w:pPr>
      <w:r>
        <w:rPr>
          <w:rFonts w:hint="eastAsia" w:ascii="仿宋_GB2312" w:hAnsi="仿宋_GB2312" w:eastAsia="仿宋_GB2312" w:cs="仿宋_GB2312"/>
          <w:sz w:val="28"/>
          <w:szCs w:val="28"/>
        </w:rPr>
        <w:t>供应商（公章）：</w:t>
      </w:r>
      <w:r>
        <w:rPr>
          <w:rFonts w:hint="eastAsia" w:ascii="仿宋_GB2312" w:hAnsi="仿宋_GB2312" w:eastAsia="仿宋_GB2312" w:cs="仿宋_GB2312"/>
          <w:sz w:val="28"/>
          <w:szCs w:val="28"/>
          <w:u w:val="single"/>
        </w:rPr>
        <w:t xml:space="preserve">                       </w:t>
      </w:r>
    </w:p>
    <w:p>
      <w:pPr>
        <w:ind w:left="279" w:leftChars="133" w:firstLine="3080" w:firstLineChars="110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法定代表人或授权代理人（签字或盖章）：</w:t>
      </w:r>
      <w:r>
        <w:rPr>
          <w:rFonts w:hint="eastAsia" w:ascii="仿宋_GB2312" w:hAnsi="仿宋_GB2312" w:eastAsia="仿宋_GB2312" w:cs="仿宋_GB2312"/>
          <w:sz w:val="28"/>
          <w:szCs w:val="28"/>
          <w:u w:val="single"/>
        </w:rPr>
        <w:t xml:space="preserve">        </w:t>
      </w:r>
    </w:p>
    <w:p>
      <w:pPr>
        <w:ind w:firstLine="5320" w:firstLineChars="1900"/>
        <w:rPr>
          <w:rFonts w:ascii="仿宋_GB2312" w:hAnsi="仿宋_GB2312" w:eastAsia="仿宋_GB2312" w:cs="仿宋_GB2312"/>
          <w:sz w:val="28"/>
          <w:szCs w:val="28"/>
          <w:u w:val="single"/>
        </w:rPr>
      </w:pPr>
    </w:p>
    <w:p>
      <w:pPr>
        <w:spacing w:line="360" w:lineRule="auto"/>
        <w:ind w:firstLine="5880" w:firstLineChars="2100"/>
        <w:rPr>
          <w:rFonts w:ascii="仿宋_GB2312" w:hAnsi="仿宋_GB2312" w:eastAsia="仿宋_GB2312" w:cs="仿宋_GB2312"/>
          <w:b/>
          <w:bCs/>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rPr>
        <w:br w:type="textWrapping"/>
      </w:r>
    </w:p>
    <w:p>
      <w:pPr>
        <w:pStyle w:val="2"/>
        <w:rPr>
          <w:rFonts w:ascii="仿宋_GB2312" w:hAnsi="仿宋_GB2312" w:eastAsia="仿宋_GB2312" w:cs="仿宋_GB2312"/>
          <w:b/>
          <w:bCs/>
          <w:sz w:val="28"/>
          <w:szCs w:val="28"/>
        </w:rPr>
        <w:sectPr>
          <w:pgSz w:w="11906" w:h="16838"/>
          <w:pgMar w:top="1361" w:right="1080" w:bottom="1361" w:left="1080" w:header="851" w:footer="992" w:gutter="0"/>
          <w:cols w:space="720" w:num="1"/>
          <w:docGrid w:type="lines" w:linePitch="312" w:charSpace="0"/>
        </w:sectPr>
      </w:pPr>
    </w:p>
    <w:p>
      <w:pPr>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w:t>
      </w:r>
      <w:r>
        <w:rPr>
          <w:rFonts w:hint="eastAsia" w:ascii="仿宋_GB2312" w:hAnsi="仿宋_GB2312" w:eastAsia="仿宋_GB2312" w:cs="仿宋_GB2312"/>
          <w:b/>
          <w:bCs/>
          <w:sz w:val="28"/>
          <w:szCs w:val="28"/>
          <w:lang w:val="en-US" w:eastAsia="zh-CN"/>
        </w:rPr>
        <w:t>7</w:t>
      </w:r>
      <w:r>
        <w:rPr>
          <w:rFonts w:hint="eastAsia" w:ascii="仿宋_GB2312" w:hAnsi="仿宋_GB2312" w:eastAsia="仿宋_GB2312" w:cs="仿宋_GB2312"/>
          <w:b/>
          <w:bCs/>
          <w:sz w:val="28"/>
          <w:szCs w:val="28"/>
        </w:rPr>
        <w:t>：</w:t>
      </w:r>
    </w:p>
    <w:p>
      <w:pPr>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资格证明文件</w:t>
      </w:r>
    </w:p>
    <w:p>
      <w:pPr>
        <w:pStyle w:val="28"/>
        <w:numPr>
          <w:ilvl w:val="0"/>
          <w:numId w:val="0"/>
        </w:num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（格式不限）</w:t>
      </w:r>
    </w:p>
    <w:p>
      <w:pPr>
        <w:pStyle w:val="28"/>
        <w:numPr>
          <w:ilvl w:val="0"/>
          <w:numId w:val="0"/>
        </w:num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1、法人营业执照副本复印件加盖公章；</w:t>
      </w:r>
    </w:p>
    <w:p>
      <w:pPr>
        <w:pStyle w:val="28"/>
        <w:numPr>
          <w:ilvl w:val="0"/>
          <w:numId w:val="0"/>
        </w:num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2、若供应商法定代表人亲自参加磋商的，则提供本人的身份证原件；若授权代理人参加磋商的，则提供法人授权委托书原件、授权代理人本人身份证原件及复印件、磋商企业法定代表人身份证复印件；</w:t>
      </w:r>
    </w:p>
    <w:p>
      <w:pPr>
        <w:tabs>
          <w:tab w:val="left" w:pos="0"/>
        </w:tabs>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3、供应商企业相关资质证书、企业简介；</w:t>
      </w:r>
    </w:p>
    <w:p>
      <w:pPr>
        <w:tabs>
          <w:tab w:val="left" w:pos="0"/>
        </w:tabs>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4、供应商认为需加以说明的其他技术内容。</w:t>
      </w:r>
    </w:p>
    <w:p>
      <w:pPr>
        <w:spacing w:line="360" w:lineRule="auto"/>
        <w:ind w:firstLine="560" w:firstLineChars="200"/>
        <w:rPr>
          <w:rFonts w:ascii="仿宋_GB2312" w:hAnsi="仿宋_GB2312" w:eastAsia="仿宋_GB2312" w:cs="仿宋_GB2312"/>
          <w:sz w:val="28"/>
          <w:szCs w:val="28"/>
        </w:rPr>
      </w:pPr>
    </w:p>
    <w:p>
      <w:pPr>
        <w:pStyle w:val="2"/>
        <w:rPr>
          <w:rFonts w:ascii="仿宋_GB2312" w:hAnsi="仿宋_GB2312" w:eastAsia="仿宋_GB2312" w:cs="仿宋_GB2312"/>
        </w:rPr>
      </w:pP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注：以上文件均需要加盖供应商公章。</w:t>
      </w:r>
    </w:p>
    <w:p>
      <w:pPr>
        <w:spacing w:line="360" w:lineRule="auto"/>
        <w:rPr>
          <w:rFonts w:ascii="仿宋_GB2312" w:hAnsi="仿宋_GB2312" w:eastAsia="仿宋_GB2312" w:cs="仿宋_GB2312"/>
          <w:sz w:val="28"/>
          <w:szCs w:val="28"/>
        </w:rPr>
      </w:pPr>
    </w:p>
    <w:p>
      <w:pPr>
        <w:spacing w:line="360" w:lineRule="auto"/>
        <w:rPr>
          <w:rFonts w:ascii="仿宋_GB2312" w:hAnsi="仿宋_GB2312" w:eastAsia="仿宋_GB2312" w:cs="仿宋_GB2312"/>
          <w:sz w:val="28"/>
          <w:szCs w:val="28"/>
        </w:rPr>
        <w:sectPr>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w:t>
      </w:r>
      <w:r>
        <w:rPr>
          <w:rFonts w:hint="eastAsia" w:ascii="仿宋_GB2312" w:hAnsi="仿宋_GB2312" w:eastAsia="仿宋_GB2312" w:cs="仿宋_GB2312"/>
          <w:b/>
          <w:bCs/>
          <w:sz w:val="28"/>
          <w:szCs w:val="28"/>
          <w:lang w:val="en-US" w:eastAsia="zh-CN"/>
        </w:rPr>
        <w:t>8</w:t>
      </w:r>
      <w:r>
        <w:rPr>
          <w:rFonts w:hint="eastAsia" w:ascii="仿宋_GB2312" w:hAnsi="仿宋_GB2312" w:eastAsia="仿宋_GB2312" w:cs="仿宋_GB2312"/>
          <w:b/>
          <w:bCs/>
          <w:sz w:val="28"/>
          <w:szCs w:val="28"/>
        </w:rPr>
        <w:t>：</w:t>
      </w:r>
    </w:p>
    <w:p>
      <w:pPr>
        <w:pStyle w:val="2"/>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相关资料文件</w:t>
      </w:r>
    </w:p>
    <w:p>
      <w:pPr>
        <w:pStyle w:val="2"/>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                              (均需盖章)</w:t>
      </w:r>
    </w:p>
    <w:p>
      <w:pPr>
        <w:pStyle w:val="2"/>
        <w:rPr>
          <w:rFonts w:ascii="仿宋_GB2312" w:hAnsi="仿宋_GB2312" w:eastAsia="仿宋_GB2312" w:cs="仿宋_GB2312"/>
          <w:b/>
          <w:bCs/>
          <w:sz w:val="28"/>
          <w:szCs w:val="28"/>
        </w:rPr>
      </w:pPr>
    </w:p>
    <w:p>
      <w:pPr>
        <w:pStyle w:val="28"/>
        <w:numPr>
          <w:ilvl w:val="0"/>
          <w:numId w:val="0"/>
        </w:numPr>
        <w:spacing w:line="360" w:lineRule="auto"/>
        <w:ind w:firstLine="560" w:firstLineChars="200"/>
        <w:rPr>
          <w:rFonts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yellow"/>
          <w:u w:val="single"/>
        </w:rPr>
        <w:t>1、</w:t>
      </w:r>
      <w:r>
        <w:rPr>
          <w:rFonts w:hint="eastAsia" w:ascii="仿宋_GB2312" w:hAnsi="仿宋_GB2312" w:eastAsia="仿宋_GB2312" w:cs="仿宋_GB2312"/>
          <w:bCs/>
          <w:sz w:val="28"/>
          <w:szCs w:val="28"/>
          <w:highlight w:val="yellow"/>
          <w:u w:val="single"/>
        </w:rPr>
        <w:t>供应商需</w:t>
      </w:r>
      <w:r>
        <w:rPr>
          <w:rFonts w:hint="eastAsia" w:ascii="仿宋_GB2312" w:hAnsi="仿宋_GB2312" w:eastAsia="仿宋_GB2312" w:cs="仿宋_GB2312"/>
          <w:sz w:val="28"/>
          <w:szCs w:val="28"/>
          <w:highlight w:val="yellow"/>
          <w:u w:val="single"/>
        </w:rPr>
        <w:t>提供2017年以来</w:t>
      </w:r>
      <w:r>
        <w:rPr>
          <w:rFonts w:hint="eastAsia" w:ascii="仿宋_GB2312" w:hAnsi="仿宋_GB2312" w:eastAsia="仿宋_GB2312" w:cs="仿宋_GB2312"/>
          <w:sz w:val="28"/>
          <w:szCs w:val="28"/>
          <w:highlight w:val="yellow"/>
          <w:u w:val="single"/>
          <w:lang w:eastAsia="zh-CN"/>
        </w:rPr>
        <w:t>在金融机构</w:t>
      </w:r>
      <w:r>
        <w:rPr>
          <w:rFonts w:hint="eastAsia" w:ascii="仿宋_GB2312" w:hAnsi="仿宋_GB2312" w:eastAsia="仿宋_GB2312" w:cs="仿宋_GB2312"/>
          <w:sz w:val="28"/>
          <w:szCs w:val="28"/>
          <w:highlight w:val="yellow"/>
          <w:u w:val="single"/>
        </w:rPr>
        <w:t>成功实施信贷系统PMO管理项目或同等级难度的项目群PMO管理相关案例</w:t>
      </w:r>
      <w:r>
        <w:rPr>
          <w:rFonts w:hint="eastAsia" w:ascii="仿宋_GB2312" w:hAnsi="仿宋_GB2312" w:eastAsia="仿宋_GB2312" w:cs="仿宋_GB2312"/>
          <w:sz w:val="28"/>
          <w:szCs w:val="28"/>
          <w:highlight w:val="yellow"/>
          <w:u w:val="single"/>
          <w:lang w:eastAsia="zh-CN"/>
        </w:rPr>
        <w:t>。</w:t>
      </w:r>
      <w:r>
        <w:rPr>
          <w:rFonts w:hint="eastAsia" w:ascii="仿宋_GB2312" w:hAnsi="仿宋_GB2312" w:eastAsia="仿宋_GB2312" w:cs="仿宋_GB2312"/>
          <w:sz w:val="28"/>
          <w:szCs w:val="28"/>
          <w:highlight w:val="yellow"/>
          <w:u w:val="single"/>
        </w:rPr>
        <w:t>（提交相应</w:t>
      </w:r>
      <w:r>
        <w:rPr>
          <w:rFonts w:hint="eastAsia" w:ascii="仿宋_GB2312" w:hAnsi="仿宋_GB2312" w:eastAsia="仿宋_GB2312" w:cs="仿宋_GB2312"/>
          <w:b/>
          <w:bCs/>
          <w:sz w:val="28"/>
          <w:szCs w:val="28"/>
          <w:highlight w:val="yellow"/>
          <w:u w:val="single"/>
        </w:rPr>
        <w:t>合同复印件）</w:t>
      </w:r>
      <w:r>
        <w:rPr>
          <w:rFonts w:hint="eastAsia" w:ascii="仿宋_GB2312" w:hAnsi="仿宋_GB2312" w:eastAsia="仿宋_GB2312" w:cs="仿宋_GB2312"/>
          <w:sz w:val="28"/>
          <w:szCs w:val="28"/>
          <w:highlight w:val="yellow"/>
          <w:u w:val="single"/>
        </w:rPr>
        <w:t>。</w:t>
      </w:r>
    </w:p>
    <w:p>
      <w:pPr>
        <w:tabs>
          <w:tab w:val="left" w:pos="0"/>
        </w:tabs>
        <w:spacing w:line="360" w:lineRule="auto"/>
        <w:ind w:firstLine="560" w:firstLineChars="200"/>
        <w:rPr>
          <w:rFonts w:ascii="仿宋_GB2312" w:hAnsi="仿宋_GB2312" w:eastAsia="仿宋_GB2312" w:cs="仿宋_GB2312"/>
          <w:bCs/>
          <w:kern w:val="0"/>
          <w:sz w:val="28"/>
          <w:szCs w:val="28"/>
          <w:highlight w:val="none"/>
          <w:u w:val="single"/>
        </w:rPr>
      </w:pPr>
      <w:r>
        <w:rPr>
          <w:rFonts w:hint="eastAsia" w:ascii="仿宋_GB2312" w:hAnsi="仿宋_GB2312" w:eastAsia="仿宋_GB2312" w:cs="仿宋_GB2312"/>
          <w:bCs/>
          <w:sz w:val="28"/>
          <w:szCs w:val="28"/>
          <w:highlight w:val="none"/>
          <w:u w:val="single"/>
        </w:rPr>
        <w:t>2、供应商需针对本项目提供本单位项目团队成员详细简历，并提供项目团队相关资质证书、社保缴费清单（近</w:t>
      </w:r>
      <w:r>
        <w:rPr>
          <w:rFonts w:hint="eastAsia" w:ascii="仿宋_GB2312" w:hAnsi="仿宋_GB2312" w:eastAsia="仿宋_GB2312" w:cs="仿宋_GB2312"/>
          <w:bCs/>
          <w:sz w:val="28"/>
          <w:szCs w:val="28"/>
          <w:highlight w:val="none"/>
          <w:u w:val="single"/>
          <w:lang w:val="en-US" w:eastAsia="zh-CN"/>
        </w:rPr>
        <w:t>3</w:t>
      </w:r>
      <w:r>
        <w:rPr>
          <w:rFonts w:hint="eastAsia" w:ascii="仿宋_GB2312" w:hAnsi="仿宋_GB2312" w:eastAsia="仿宋_GB2312" w:cs="仿宋_GB2312"/>
          <w:bCs/>
          <w:sz w:val="28"/>
          <w:szCs w:val="28"/>
          <w:highlight w:val="none"/>
          <w:u w:val="single"/>
        </w:rPr>
        <w:t>个月）。</w:t>
      </w:r>
    </w:p>
    <w:p>
      <w:pPr>
        <w:pStyle w:val="2"/>
        <w:rPr>
          <w:rFonts w:ascii="仿宋_GB2312" w:hAnsi="仿宋_GB2312" w:eastAsia="仿宋_GB2312" w:cs="仿宋_GB2312"/>
          <w:b/>
          <w:bCs/>
          <w:sz w:val="28"/>
          <w:szCs w:val="28"/>
        </w:rPr>
      </w:pPr>
    </w:p>
    <w:p>
      <w:pPr>
        <w:pStyle w:val="2"/>
        <w:rPr>
          <w:rFonts w:ascii="仿宋_GB2312" w:hAnsi="仿宋_GB2312" w:eastAsia="仿宋_GB2312" w:cs="仿宋_GB2312"/>
          <w:b/>
          <w:bCs/>
          <w:sz w:val="28"/>
          <w:szCs w:val="28"/>
        </w:rPr>
      </w:pPr>
    </w:p>
    <w:p>
      <w:pPr>
        <w:pStyle w:val="2"/>
        <w:rPr>
          <w:rFonts w:ascii="仿宋_GB2312" w:hAnsi="仿宋_GB2312" w:eastAsia="仿宋_GB2312" w:cs="仿宋_GB2312"/>
          <w:sz w:val="28"/>
          <w:szCs w:val="28"/>
        </w:rPr>
        <w:sectPr>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附件</w:t>
      </w:r>
      <w:r>
        <w:rPr>
          <w:rFonts w:hint="eastAsia" w:ascii="仿宋_GB2312" w:hAnsi="仿宋_GB2312" w:eastAsia="仿宋_GB2312" w:cs="仿宋_GB2312"/>
          <w:b/>
          <w:bCs/>
          <w:sz w:val="28"/>
          <w:szCs w:val="28"/>
          <w:lang w:val="en-US" w:eastAsia="zh-CN"/>
        </w:rPr>
        <w:t>9</w:t>
      </w:r>
      <w:r>
        <w:rPr>
          <w:rFonts w:hint="eastAsia" w:ascii="仿宋_GB2312" w:hAnsi="仿宋_GB2312" w:eastAsia="仿宋_GB2312" w:cs="仿宋_GB2312"/>
          <w:b/>
          <w:bCs/>
          <w:sz w:val="28"/>
          <w:szCs w:val="28"/>
        </w:rPr>
        <w:t>：</w:t>
      </w:r>
    </w:p>
    <w:p>
      <w:pPr>
        <w:autoSpaceDE w:val="0"/>
        <w:autoSpaceDN w:val="0"/>
        <w:adjustRightInd w:val="0"/>
        <w:spacing w:line="360" w:lineRule="auto"/>
        <w:jc w:val="center"/>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承诺书函</w:t>
      </w:r>
    </w:p>
    <w:p>
      <w:pPr>
        <w:autoSpaceDE w:val="0"/>
        <w:autoSpaceDN w:val="0"/>
        <w:adjustRightInd w:val="0"/>
        <w:spacing w:line="360" w:lineRule="auto"/>
        <w:jc w:val="left"/>
        <w:rPr>
          <w:rFonts w:ascii="仿宋_GB2312" w:hAnsi="仿宋_GB2312" w:eastAsia="仿宋_GB2312" w:cs="仿宋_GB2312"/>
          <w:sz w:val="28"/>
          <w:szCs w:val="28"/>
          <w:u w:val="single"/>
        </w:rPr>
      </w:pPr>
    </w:p>
    <w:p>
      <w:pPr>
        <w:autoSpaceDE w:val="0"/>
        <w:autoSpaceDN w:val="0"/>
        <w:adjustRightInd w:val="0"/>
        <w:spacing w:line="360" w:lineRule="auto"/>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u w:val="single"/>
        </w:rPr>
        <w:t>江苏张家港农村商业银行股份有限公司</w:t>
      </w:r>
      <w:r>
        <w:rPr>
          <w:rFonts w:hint="eastAsia" w:ascii="仿宋_GB2312" w:hAnsi="仿宋_GB2312" w:eastAsia="仿宋_GB2312" w:cs="仿宋_GB2312"/>
          <w:kern w:val="0"/>
          <w:sz w:val="28"/>
          <w:szCs w:val="28"/>
        </w:rPr>
        <w:t>：</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在参加贵公司的</w:t>
      </w:r>
      <w:r>
        <w:rPr>
          <w:rFonts w:hint="eastAsia" w:ascii="仿宋_GB2312" w:hAnsi="仿宋_GB2312" w:eastAsia="仿宋_GB2312" w:cs="仿宋_GB2312"/>
          <w:sz w:val="28"/>
          <w:szCs w:val="28"/>
        </w:rPr>
        <w:t>“</w:t>
      </w:r>
      <w:r>
        <w:rPr>
          <w:rFonts w:hint="eastAsia" w:ascii="仿宋_GB2312" w:hAnsi="仿宋_GB2312" w:eastAsia="仿宋_GB2312" w:cs="仿宋_GB2312"/>
          <w:snapToGrid w:val="0"/>
          <w:color w:val="000000"/>
          <w:sz w:val="28"/>
          <w:szCs w:val="28"/>
          <w:u w:val="single"/>
        </w:rPr>
        <w:t>江苏张家港农村商业银行股份有限公司</w:t>
      </w:r>
      <w:r>
        <w:rPr>
          <w:rFonts w:hint="eastAsia" w:ascii="仿宋_GB2312" w:hAnsi="仿宋_GB2312" w:eastAsia="仿宋_GB2312" w:cs="仿宋_GB2312"/>
          <w:snapToGrid w:val="0"/>
          <w:sz w:val="28"/>
          <w:szCs w:val="28"/>
          <w:u w:val="single"/>
        </w:rPr>
        <w:t>新一代信贷系统PMO</w:t>
      </w:r>
      <w:r>
        <w:rPr>
          <w:rFonts w:hint="eastAsia" w:ascii="仿宋_GB2312" w:hAnsi="仿宋_GB2312" w:eastAsia="仿宋_GB2312" w:cs="仿宋_GB2312"/>
          <w:snapToGrid w:val="0"/>
          <w:sz w:val="28"/>
          <w:szCs w:val="28"/>
          <w:u w:val="single"/>
          <w:lang w:eastAsia="zh-CN"/>
        </w:rPr>
        <w:t>管理模式</w:t>
      </w:r>
      <w:r>
        <w:rPr>
          <w:rFonts w:hint="eastAsia" w:ascii="仿宋_GB2312" w:hAnsi="仿宋_GB2312" w:eastAsia="仿宋_GB2312" w:cs="仿宋_GB2312"/>
          <w:snapToGrid w:val="0"/>
          <w:sz w:val="28"/>
          <w:szCs w:val="28"/>
          <w:u w:val="single"/>
        </w:rPr>
        <w:t>项目</w:t>
      </w:r>
      <w:r>
        <w:rPr>
          <w:rFonts w:hint="eastAsia" w:ascii="仿宋_GB2312" w:hAnsi="仿宋_GB2312" w:eastAsia="仿宋_GB2312" w:cs="仿宋_GB2312"/>
          <w:sz w:val="28"/>
          <w:szCs w:val="28"/>
        </w:rPr>
        <w:t>”（项目编号：</w:t>
      </w:r>
      <w:r>
        <w:rPr>
          <w:rFonts w:hint="eastAsia" w:ascii="仿宋_GB2312" w:hAnsi="仿宋_GB2312" w:eastAsia="仿宋_GB2312" w:cs="仿宋_GB2312"/>
          <w:color w:val="000000"/>
          <w:sz w:val="28"/>
          <w:szCs w:val="40"/>
        </w:rPr>
        <w:t>ZJGRCB2020</w:t>
      </w:r>
      <w:r>
        <w:rPr>
          <w:rFonts w:hint="eastAsia" w:ascii="仿宋_GB2312" w:hAnsi="仿宋_GB2312" w:eastAsia="仿宋_GB2312" w:cs="仿宋_GB2312"/>
          <w:color w:val="000000"/>
          <w:sz w:val="28"/>
          <w:szCs w:val="40"/>
          <w:lang w:val="en-US" w:eastAsia="zh-CN"/>
        </w:rPr>
        <w:t>1009</w:t>
      </w:r>
      <w:r>
        <w:rPr>
          <w:rFonts w:hint="eastAsia" w:ascii="仿宋_GB2312" w:hAnsi="仿宋_GB2312" w:eastAsia="仿宋_GB2312" w:cs="仿宋_GB2312"/>
          <w:sz w:val="28"/>
          <w:szCs w:val="28"/>
        </w:rPr>
        <w:t>）的竞争性磋商</w:t>
      </w:r>
      <w:r>
        <w:rPr>
          <w:rFonts w:hint="eastAsia" w:ascii="仿宋_GB2312" w:hAnsi="仿宋_GB2312" w:eastAsia="仿宋_GB2312" w:cs="仿宋_GB2312"/>
          <w:kern w:val="0"/>
          <w:sz w:val="28"/>
          <w:szCs w:val="28"/>
        </w:rPr>
        <w:t>活动中，我方郑重承诺：</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一、绝不利用业务合作之机，有任何损害贵行正当权益的行为。</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二、绝不向贵行工作人员送钱、物、有价证券和回扣等；绝不提供可能妨碍公正履行公务的吃请、娱乐、健身和旅游等消费活动。 </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三、绝不相互串通或与贵行工作人员串通进行。 </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四、成交后，严格执行项目合同。 </w:t>
      </w:r>
    </w:p>
    <w:p>
      <w:pPr>
        <w:autoSpaceDE w:val="0"/>
        <w:autoSpaceDN w:val="0"/>
        <w:adjustRightInd w:val="0"/>
        <w:spacing w:line="360" w:lineRule="auto"/>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五、如对采购人给予其他形式优惠，将在响应文件或合同书中明确给予注明。 </w:t>
      </w:r>
    </w:p>
    <w:p>
      <w:pPr>
        <w:autoSpaceDE w:val="0"/>
        <w:autoSpaceDN w:val="0"/>
        <w:adjustRightInd w:val="0"/>
        <w:spacing w:line="360" w:lineRule="auto"/>
        <w:jc w:val="left"/>
        <w:rPr>
          <w:rFonts w:ascii="仿宋_GB2312" w:hAnsi="仿宋_GB2312" w:eastAsia="仿宋_GB2312" w:cs="仿宋_GB2312"/>
          <w:kern w:val="0"/>
          <w:sz w:val="28"/>
          <w:szCs w:val="28"/>
        </w:rPr>
      </w:pPr>
    </w:p>
    <w:p>
      <w:pPr>
        <w:autoSpaceDE w:val="0"/>
        <w:autoSpaceDN w:val="0"/>
        <w:adjustRightInd w:val="0"/>
        <w:spacing w:line="360" w:lineRule="auto"/>
        <w:jc w:val="left"/>
        <w:rPr>
          <w:rFonts w:ascii="仿宋_GB2312" w:hAnsi="仿宋_GB2312" w:eastAsia="仿宋_GB2312" w:cs="仿宋_GB2312"/>
          <w:kern w:val="0"/>
          <w:sz w:val="28"/>
          <w:szCs w:val="28"/>
        </w:rPr>
      </w:pPr>
    </w:p>
    <w:p>
      <w:pPr>
        <w:autoSpaceDE w:val="0"/>
        <w:autoSpaceDN w:val="0"/>
        <w:adjustRightInd w:val="0"/>
        <w:spacing w:line="360" w:lineRule="auto"/>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供应商（公章）：</w:t>
      </w:r>
      <w:r>
        <w:rPr>
          <w:rFonts w:hint="eastAsia" w:ascii="仿宋_GB2312" w:hAnsi="仿宋_GB2312" w:eastAsia="仿宋_GB2312" w:cs="仿宋_GB2312"/>
          <w:kern w:val="0"/>
          <w:sz w:val="28"/>
          <w:szCs w:val="28"/>
          <w:u w:val="single"/>
        </w:rPr>
        <w:t xml:space="preserve">                          </w:t>
      </w:r>
    </w:p>
    <w:p>
      <w:pPr>
        <w:autoSpaceDE w:val="0"/>
        <w:autoSpaceDN w:val="0"/>
        <w:adjustRightInd w:val="0"/>
        <w:spacing w:line="360" w:lineRule="auto"/>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法定代表人或授权代理人（签字或盖章）：</w:t>
      </w:r>
      <w:r>
        <w:rPr>
          <w:rFonts w:hint="eastAsia" w:ascii="仿宋_GB2312" w:hAnsi="仿宋_GB2312" w:eastAsia="仿宋_GB2312" w:cs="仿宋_GB2312"/>
          <w:kern w:val="0"/>
          <w:sz w:val="28"/>
          <w:szCs w:val="28"/>
          <w:u w:val="single"/>
        </w:rPr>
        <w:t xml:space="preserve">                 </w:t>
      </w:r>
    </w:p>
    <w:p>
      <w:pPr>
        <w:pStyle w:val="26"/>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日期：</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w:t>
      </w:r>
    </w:p>
    <w:p>
      <w:pPr>
        <w:spacing w:line="360" w:lineRule="auto"/>
        <w:rPr>
          <w:rFonts w:ascii="仿宋_GB2312" w:hAnsi="仿宋_GB2312" w:eastAsia="仿宋_GB2312" w:cs="仿宋_GB2312"/>
          <w:sz w:val="24"/>
        </w:rPr>
        <w:sectPr>
          <w:pgSz w:w="11906" w:h="16838"/>
          <w:pgMar w:top="1361" w:right="1080" w:bottom="1361" w:left="1080" w:header="851" w:footer="992" w:gutter="0"/>
          <w:cols w:space="720" w:num="1"/>
          <w:docGrid w:type="lines" w:linePitch="312" w:charSpace="0"/>
        </w:sectPr>
      </w:pPr>
    </w:p>
    <w:p>
      <w:pPr>
        <w:pStyle w:val="26"/>
        <w:spacing w:line="360" w:lineRule="auto"/>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附件1</w:t>
      </w:r>
      <w:r>
        <w:rPr>
          <w:rFonts w:hint="eastAsia" w:ascii="仿宋_GB2312" w:hAnsi="仿宋_GB2312" w:eastAsia="仿宋_GB2312" w:cs="仿宋_GB2312"/>
          <w:b/>
          <w:color w:val="auto"/>
          <w:sz w:val="28"/>
          <w:szCs w:val="28"/>
          <w:lang w:val="en-US" w:eastAsia="zh-CN"/>
        </w:rPr>
        <w:t>0</w:t>
      </w:r>
      <w:r>
        <w:rPr>
          <w:rFonts w:hint="eastAsia" w:ascii="仿宋_GB2312" w:hAnsi="仿宋_GB2312" w:eastAsia="仿宋_GB2312" w:cs="仿宋_GB2312"/>
          <w:b/>
          <w:color w:val="auto"/>
          <w:sz w:val="28"/>
          <w:szCs w:val="28"/>
        </w:rPr>
        <w:t>：</w:t>
      </w:r>
    </w:p>
    <w:p>
      <w:pPr>
        <w:pStyle w:val="26"/>
        <w:spacing w:line="360" w:lineRule="auto"/>
        <w:rPr>
          <w:rFonts w:ascii="仿宋_GB2312" w:hAnsi="仿宋_GB2312" w:eastAsia="仿宋_GB2312" w:cs="仿宋_GB2312"/>
          <w:b/>
          <w:color w:val="auto"/>
          <w:sz w:val="28"/>
          <w:szCs w:val="28"/>
        </w:rPr>
      </w:pPr>
    </w:p>
    <w:p>
      <w:pPr>
        <w:spacing w:line="360" w:lineRule="auto"/>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服务管理流程</w:t>
      </w:r>
    </w:p>
    <w:p>
      <w:pPr>
        <w:shd w:val="clear" w:color="auto" w:fill="FFFFFF"/>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针对本项目，请详细描述本公司情况、项目计划、项目周期、服务流程、培训计划、服务人员资质及简历、服务质量、售后服务等。</w:t>
      </w:r>
    </w:p>
    <w:p>
      <w:pPr>
        <w:pStyle w:val="26"/>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pStyle w:val="26"/>
        <w:spacing w:line="360" w:lineRule="auto"/>
        <w:rPr>
          <w:rFonts w:ascii="仿宋_GB2312" w:hAnsi="仿宋_GB2312" w:eastAsia="仿宋_GB2312" w:cs="仿宋_GB2312"/>
          <w:color w:val="auto"/>
          <w:sz w:val="28"/>
          <w:szCs w:val="28"/>
        </w:rPr>
      </w:pP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供应商：（公章）</w:t>
      </w:r>
      <w:r>
        <w:rPr>
          <w:rFonts w:hint="eastAsia" w:ascii="仿宋_GB2312" w:hAnsi="仿宋_GB2312" w:eastAsia="仿宋_GB2312" w:cs="仿宋_GB2312"/>
          <w:szCs w:val="21"/>
          <w:u w:val="single"/>
        </w:rPr>
        <w:t xml:space="preserve">                  </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法定代表人或授权代理人：（签字或盖章）</w:t>
      </w:r>
      <w:r>
        <w:rPr>
          <w:rFonts w:hint="eastAsia" w:ascii="仿宋_GB2312" w:hAnsi="仿宋_GB2312" w:eastAsia="仿宋_GB2312" w:cs="仿宋_GB2312"/>
          <w:szCs w:val="21"/>
          <w:u w:val="single"/>
        </w:rPr>
        <w:t xml:space="preserve">                      </w:t>
      </w:r>
    </w:p>
    <w:p>
      <w:pPr>
        <w:pStyle w:val="8"/>
        <w:overflowPunct w:val="0"/>
        <w:spacing w:line="360" w:lineRule="auto"/>
        <w:ind w:firstLine="0"/>
        <w:rPr>
          <w:rFonts w:ascii="仿宋_GB2312" w:hAnsi="仿宋_GB2312" w:eastAsia="仿宋_GB2312" w:cs="仿宋_GB2312"/>
          <w:szCs w:val="21"/>
        </w:rPr>
      </w:pPr>
      <w:r>
        <w:rPr>
          <w:rFonts w:hint="eastAsia" w:ascii="仿宋_GB2312" w:hAnsi="仿宋_GB2312" w:eastAsia="仿宋_GB2312" w:cs="仿宋_GB2312"/>
          <w:szCs w:val="21"/>
        </w:rPr>
        <w:t xml:space="preserve">      年    月    日</w:t>
      </w:r>
    </w:p>
    <w:p>
      <w:pPr>
        <w:pStyle w:val="26"/>
        <w:spacing w:line="360" w:lineRule="auto"/>
        <w:rPr>
          <w:rFonts w:ascii="仿宋_GB2312" w:hAnsi="仿宋_GB2312" w:eastAsia="仿宋_GB2312" w:cs="仿宋_GB2312"/>
          <w:color w:val="auto"/>
          <w:sz w:val="28"/>
          <w:szCs w:val="28"/>
        </w:rPr>
      </w:pPr>
    </w:p>
    <w:p>
      <w:pPr>
        <w:spacing w:line="360" w:lineRule="auto"/>
        <w:rPr>
          <w:rFonts w:ascii="仿宋_GB2312" w:hAnsi="仿宋_GB2312" w:eastAsia="仿宋_GB2312" w:cs="仿宋_GB2312"/>
          <w:b/>
          <w:sz w:val="28"/>
          <w:szCs w:val="28"/>
        </w:rPr>
      </w:pPr>
    </w:p>
    <w:p>
      <w:pPr>
        <w:pStyle w:val="26"/>
        <w:spacing w:line="360" w:lineRule="auto"/>
        <w:rPr>
          <w:rFonts w:ascii="仿宋_GB2312" w:hAnsi="仿宋_GB2312" w:eastAsia="仿宋_GB2312" w:cs="仿宋_GB2312"/>
          <w:b/>
          <w:color w:val="auto"/>
          <w:sz w:val="28"/>
          <w:szCs w:val="28"/>
        </w:rPr>
        <w:sectPr>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附件1</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p>
    <w:p>
      <w:pPr>
        <w:pStyle w:val="26"/>
        <w:spacing w:line="360" w:lineRule="auto"/>
        <w:rPr>
          <w:rFonts w:ascii="仿宋_GB2312" w:hAnsi="仿宋_GB2312" w:eastAsia="仿宋_GB2312" w:cs="仿宋_GB2312"/>
          <w:b/>
          <w:color w:val="auto"/>
          <w:sz w:val="28"/>
          <w:szCs w:val="28"/>
        </w:rPr>
      </w:pPr>
    </w:p>
    <w:p>
      <w:pPr>
        <w:spacing w:line="360" w:lineRule="auto"/>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商务条款偏离表</w:t>
      </w:r>
    </w:p>
    <w:tbl>
      <w:tblPr>
        <w:tblStyle w:val="21"/>
        <w:tblW w:w="9958" w:type="dxa"/>
        <w:jc w:val="center"/>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243"/>
        <w:gridCol w:w="2803"/>
        <w:gridCol w:w="2803"/>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243" w:type="dxa"/>
          </w:tcPr>
          <w:p>
            <w:pPr>
              <w:jc w:val="center"/>
              <w:rPr>
                <w:rFonts w:ascii="仿宋_GB2312" w:hAnsi="仿宋_GB2312" w:eastAsia="仿宋_GB2312" w:cs="仿宋_GB2312"/>
                <w:szCs w:val="21"/>
              </w:rPr>
            </w:pPr>
            <w:r>
              <w:rPr>
                <w:rFonts w:hint="eastAsia" w:ascii="仿宋_GB2312" w:hAnsi="仿宋_GB2312" w:eastAsia="仿宋_GB2312" w:cs="仿宋_GB2312"/>
                <w:szCs w:val="21"/>
              </w:rPr>
              <w:t>采购文件条目号</w:t>
            </w:r>
          </w:p>
        </w:tc>
        <w:tc>
          <w:tcPr>
            <w:tcW w:w="2803" w:type="dxa"/>
          </w:tcPr>
          <w:p>
            <w:pPr>
              <w:jc w:val="center"/>
              <w:rPr>
                <w:rFonts w:ascii="仿宋_GB2312" w:hAnsi="仿宋_GB2312" w:eastAsia="仿宋_GB2312" w:cs="仿宋_GB2312"/>
                <w:szCs w:val="21"/>
              </w:rPr>
            </w:pPr>
            <w:r>
              <w:rPr>
                <w:rFonts w:hint="eastAsia" w:ascii="仿宋_GB2312" w:hAnsi="仿宋_GB2312" w:eastAsia="仿宋_GB2312" w:cs="仿宋_GB2312"/>
                <w:szCs w:val="21"/>
              </w:rPr>
              <w:t>采购文件的商务条款</w:t>
            </w:r>
          </w:p>
        </w:tc>
        <w:tc>
          <w:tcPr>
            <w:tcW w:w="2803" w:type="dxa"/>
          </w:tcPr>
          <w:p>
            <w:pPr>
              <w:jc w:val="center"/>
              <w:rPr>
                <w:rFonts w:ascii="仿宋_GB2312" w:hAnsi="仿宋_GB2312" w:eastAsia="仿宋_GB2312" w:cs="仿宋_GB2312"/>
                <w:szCs w:val="21"/>
              </w:rPr>
            </w:pPr>
            <w:r>
              <w:rPr>
                <w:rFonts w:hint="eastAsia" w:ascii="仿宋_GB2312" w:hAnsi="仿宋_GB2312" w:eastAsia="仿宋_GB2312" w:cs="仿宋_GB2312"/>
                <w:szCs w:val="21"/>
              </w:rPr>
              <w:t>响应文件的商务条款</w:t>
            </w:r>
          </w:p>
        </w:tc>
        <w:tc>
          <w:tcPr>
            <w:tcW w:w="1282" w:type="dxa"/>
          </w:tcPr>
          <w:p>
            <w:pPr>
              <w:jc w:val="center"/>
              <w:rPr>
                <w:rFonts w:ascii="仿宋_GB2312" w:hAnsi="仿宋_GB2312" w:eastAsia="仿宋_GB2312" w:cs="仿宋_GB2312"/>
                <w:szCs w:val="21"/>
              </w:rPr>
            </w:pPr>
            <w:r>
              <w:rPr>
                <w:rFonts w:hint="eastAsia" w:ascii="仿宋_GB2312" w:hAnsi="仿宋_GB2312" w:eastAsia="仿宋_GB2312" w:cs="仿宋_GB2312"/>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7" w:type="dxa"/>
          </w:tcPr>
          <w:p>
            <w:pPr>
              <w:rPr>
                <w:rFonts w:ascii="仿宋_GB2312" w:hAnsi="仿宋_GB2312" w:eastAsia="仿宋_GB2312" w:cs="仿宋_GB2312"/>
                <w:szCs w:val="21"/>
              </w:rPr>
            </w:pPr>
          </w:p>
        </w:tc>
        <w:tc>
          <w:tcPr>
            <w:tcW w:w="224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2803" w:type="dxa"/>
          </w:tcPr>
          <w:p>
            <w:pPr>
              <w:rPr>
                <w:rFonts w:ascii="仿宋_GB2312" w:hAnsi="仿宋_GB2312" w:eastAsia="仿宋_GB2312" w:cs="仿宋_GB2312"/>
                <w:szCs w:val="21"/>
              </w:rPr>
            </w:pPr>
          </w:p>
        </w:tc>
        <w:tc>
          <w:tcPr>
            <w:tcW w:w="1282" w:type="dxa"/>
          </w:tcPr>
          <w:p>
            <w:pPr>
              <w:rPr>
                <w:rFonts w:ascii="仿宋_GB2312" w:hAnsi="仿宋_GB2312" w:eastAsia="仿宋_GB2312" w:cs="仿宋_GB2312"/>
                <w:szCs w:val="21"/>
              </w:rPr>
            </w:pPr>
          </w:p>
        </w:tc>
      </w:tr>
    </w:tbl>
    <w:p>
      <w:pPr>
        <w:autoSpaceDE w:val="0"/>
        <w:autoSpaceDN w:val="0"/>
        <w:spacing w:line="360" w:lineRule="auto"/>
        <w:rPr>
          <w:rFonts w:ascii="仿宋_GB2312" w:hAnsi="仿宋_GB2312" w:eastAsia="仿宋_GB2312" w:cs="仿宋_GB2312"/>
          <w:bCs/>
          <w:szCs w:val="21"/>
        </w:rPr>
      </w:pPr>
      <w:r>
        <w:rPr>
          <w:rFonts w:hint="eastAsia" w:ascii="仿宋_GB2312" w:hAnsi="仿宋_GB2312" w:eastAsia="仿宋_GB2312" w:cs="仿宋_GB2312"/>
          <w:bCs/>
          <w:szCs w:val="21"/>
        </w:rPr>
        <w:t>注：供应商的磋商响应文件与磋商采购文件规定的有偏离的，应在此表中说明。未在上表中说明的，如在响应文件其他内容中已有文字说明的，则以已有文字说明为准，否则，将被认为完全响应磋商采购文件的规定。但该表不作为供应商对所磋商的物关于商务条款等详细描述和说明的替代。</w:t>
      </w:r>
    </w:p>
    <w:p>
      <w:pPr>
        <w:spacing w:line="360" w:lineRule="auto"/>
        <w:rPr>
          <w:rFonts w:ascii="仿宋_GB2312" w:hAnsi="仿宋_GB2312" w:eastAsia="仿宋_GB2312" w:cs="仿宋_GB2312"/>
          <w:szCs w:val="21"/>
        </w:rPr>
      </w:pP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供应商：（公章）</w:t>
      </w:r>
      <w:r>
        <w:rPr>
          <w:rFonts w:hint="eastAsia" w:ascii="仿宋_GB2312" w:hAnsi="仿宋_GB2312" w:eastAsia="仿宋_GB2312" w:cs="仿宋_GB2312"/>
          <w:szCs w:val="21"/>
          <w:u w:val="single"/>
        </w:rPr>
        <w:t xml:space="preserve">                  </w:t>
      </w:r>
    </w:p>
    <w:p>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法定代表人或授权代理人：（签字或盖章）</w:t>
      </w:r>
      <w:r>
        <w:rPr>
          <w:rFonts w:hint="eastAsia" w:ascii="仿宋_GB2312" w:hAnsi="仿宋_GB2312" w:eastAsia="仿宋_GB2312" w:cs="仿宋_GB2312"/>
          <w:szCs w:val="21"/>
          <w:u w:val="single"/>
        </w:rPr>
        <w:t xml:space="preserve">                      </w:t>
      </w:r>
    </w:p>
    <w:p>
      <w:pPr>
        <w:pStyle w:val="8"/>
        <w:overflowPunct w:val="0"/>
        <w:spacing w:line="360" w:lineRule="auto"/>
        <w:ind w:firstLine="0"/>
        <w:rPr>
          <w:rFonts w:ascii="仿宋_GB2312" w:hAnsi="仿宋_GB2312" w:eastAsia="仿宋_GB2312" w:cs="仿宋_GB2312"/>
          <w:szCs w:val="21"/>
        </w:rPr>
      </w:pPr>
      <w:r>
        <w:rPr>
          <w:rFonts w:hint="eastAsia" w:ascii="仿宋_GB2312" w:hAnsi="仿宋_GB2312" w:eastAsia="仿宋_GB2312" w:cs="仿宋_GB2312"/>
          <w:szCs w:val="21"/>
        </w:rPr>
        <w:t>日期：      年    月    日</w:t>
      </w:r>
    </w:p>
    <w:p>
      <w:pPr>
        <w:pStyle w:val="8"/>
        <w:overflowPunct w:val="0"/>
        <w:spacing w:line="360" w:lineRule="auto"/>
        <w:ind w:firstLine="0"/>
        <w:rPr>
          <w:rFonts w:ascii="仿宋_GB2312" w:hAnsi="仿宋_GB2312" w:eastAsia="仿宋_GB2312" w:cs="仿宋_GB2312"/>
          <w:szCs w:val="21"/>
        </w:rPr>
        <w:sectPr>
          <w:pgSz w:w="11906" w:h="16838"/>
          <w:pgMar w:top="1361" w:right="1080" w:bottom="1361" w:left="1080" w:header="851" w:footer="992" w:gutter="0"/>
          <w:cols w:space="720" w:num="1"/>
          <w:docGrid w:type="lines" w:linePitch="312" w:charSpace="0"/>
        </w:sectPr>
      </w:pPr>
    </w:p>
    <w:p>
      <w:pPr>
        <w:spacing w:line="360"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附件1</w:t>
      </w:r>
      <w:r>
        <w:rPr>
          <w:rFonts w:hint="eastAsia" w:ascii="仿宋_GB2312" w:hAnsi="仿宋_GB2312" w:eastAsia="仿宋_GB2312" w:cs="仿宋_GB2312"/>
          <w:b/>
          <w:sz w:val="28"/>
          <w:szCs w:val="28"/>
          <w:lang w:val="en-US" w:eastAsia="zh-CN"/>
        </w:rPr>
        <w:t>2</w:t>
      </w:r>
      <w:r>
        <w:rPr>
          <w:rFonts w:hint="eastAsia" w:ascii="仿宋_GB2312" w:hAnsi="仿宋_GB2312" w:eastAsia="仿宋_GB2312" w:cs="仿宋_GB2312"/>
          <w:b/>
          <w:sz w:val="28"/>
          <w:szCs w:val="28"/>
        </w:rPr>
        <w:t>：</w:t>
      </w:r>
    </w:p>
    <w:p>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b/>
          <w:sz w:val="32"/>
          <w:szCs w:val="32"/>
        </w:rPr>
        <w:t>综合评审要点材料</w:t>
      </w:r>
    </w:p>
    <w:p>
      <w:pPr>
        <w:pStyle w:val="8"/>
        <w:overflowPunct w:val="0"/>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供应商根据</w:t>
      </w:r>
      <w:r>
        <w:rPr>
          <w:rFonts w:hint="eastAsia" w:ascii="仿宋_GB2312" w:hAnsi="仿宋_GB2312" w:eastAsia="仿宋_GB2312" w:cs="仿宋_GB2312"/>
          <w:b/>
          <w:bCs/>
          <w:kern w:val="0"/>
          <w:sz w:val="28"/>
          <w:szCs w:val="28"/>
          <w:u w:val="single"/>
        </w:rPr>
        <w:t>16.</w:t>
      </w:r>
      <w:r>
        <w:rPr>
          <w:rFonts w:hint="eastAsia" w:ascii="仿宋_GB2312" w:hAnsi="仿宋_GB2312" w:eastAsia="仿宋_GB2312" w:cs="仿宋_GB2312"/>
          <w:b/>
          <w:bCs/>
          <w:kern w:val="0"/>
          <w:sz w:val="28"/>
          <w:szCs w:val="28"/>
          <w:u w:val="single"/>
          <w:lang w:val="en-US" w:eastAsia="zh-CN"/>
        </w:rPr>
        <w:t>3</w:t>
      </w:r>
      <w:r>
        <w:rPr>
          <w:rFonts w:hint="eastAsia" w:ascii="仿宋_GB2312" w:hAnsi="仿宋_GB2312" w:eastAsia="仿宋_GB2312" w:cs="仿宋_GB2312"/>
          <w:b/>
          <w:bCs/>
          <w:kern w:val="0"/>
          <w:sz w:val="28"/>
          <w:szCs w:val="28"/>
          <w:u w:val="single"/>
        </w:rPr>
        <w:t>综合评分表</w:t>
      </w:r>
      <w:r>
        <w:rPr>
          <w:rFonts w:hint="eastAsia" w:ascii="仿宋_GB2312" w:hAnsi="仿宋_GB2312" w:eastAsia="仿宋_GB2312" w:cs="仿宋_GB2312"/>
          <w:kern w:val="0"/>
          <w:sz w:val="28"/>
          <w:szCs w:val="28"/>
        </w:rPr>
        <w:t>要点提供相关评审证明材料。并标明证明文件在响应文件中具体页码。</w:t>
      </w:r>
    </w:p>
    <w:tbl>
      <w:tblPr>
        <w:tblStyle w:val="21"/>
        <w:tblW w:w="9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1293"/>
        <w:gridCol w:w="1087"/>
        <w:gridCol w:w="548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0" w:type="dxa"/>
            <w:vAlign w:val="top"/>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内容</w:t>
            </w:r>
          </w:p>
        </w:tc>
        <w:tc>
          <w:tcPr>
            <w:tcW w:w="1293" w:type="dxa"/>
            <w:vAlign w:val="top"/>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项目</w:t>
            </w:r>
          </w:p>
        </w:tc>
        <w:tc>
          <w:tcPr>
            <w:tcW w:w="1087" w:type="dxa"/>
            <w:vAlign w:val="top"/>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5486" w:type="dxa"/>
            <w:vAlign w:val="top"/>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评分依据</w:t>
            </w:r>
          </w:p>
        </w:tc>
        <w:tc>
          <w:tcPr>
            <w:tcW w:w="1026" w:type="dxa"/>
          </w:tcPr>
          <w:p>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070" w:type="dxa"/>
            <w:vAlign w:val="center"/>
          </w:tcPr>
          <w:p>
            <w:pPr>
              <w:jc w:val="left"/>
              <w:rPr>
                <w:rFonts w:ascii="仿宋_GB2312" w:hAnsi="仿宋_GB2312" w:eastAsia="仿宋_GB2312" w:cs="仿宋_GB2312"/>
                <w:color w:val="000000"/>
                <w:szCs w:val="21"/>
              </w:rPr>
            </w:pPr>
            <w:r>
              <w:rPr>
                <w:rFonts w:hint="eastAsia" w:asciiTheme="minorEastAsia" w:hAnsiTheme="minorEastAsia" w:eastAsiaTheme="minorEastAsia" w:cstheme="minorEastAsia"/>
                <w:color w:val="000000"/>
                <w:szCs w:val="21"/>
              </w:rPr>
              <w:t>综合实力</w:t>
            </w:r>
          </w:p>
        </w:tc>
        <w:tc>
          <w:tcPr>
            <w:tcW w:w="1293"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案例</w:t>
            </w:r>
          </w:p>
          <w:p>
            <w:pPr>
              <w:jc w:val="left"/>
              <w:rPr>
                <w:rFonts w:ascii="仿宋_GB2312" w:hAnsi="仿宋_GB2312" w:eastAsia="仿宋_GB2312" w:cs="仿宋_GB2312"/>
                <w:color w:val="000000"/>
                <w:szCs w:val="21"/>
              </w:rPr>
            </w:pPr>
          </w:p>
        </w:tc>
        <w:tc>
          <w:tcPr>
            <w:tcW w:w="1087" w:type="dxa"/>
            <w:vAlign w:val="center"/>
          </w:tcPr>
          <w:p>
            <w:pPr>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10分</w:t>
            </w:r>
          </w:p>
          <w:p>
            <w:pPr>
              <w:jc w:val="center"/>
              <w:rPr>
                <w:rFonts w:ascii="仿宋_GB2312" w:hAnsi="仿宋_GB2312" w:eastAsia="仿宋_GB2312" w:cs="仿宋_GB2312"/>
                <w:color w:val="000000"/>
                <w:szCs w:val="21"/>
              </w:rPr>
            </w:pPr>
          </w:p>
        </w:tc>
        <w:tc>
          <w:tcPr>
            <w:tcW w:w="5486" w:type="dxa"/>
            <w:vAlign w:val="top"/>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提供2017年以来</w:t>
            </w:r>
            <w:r>
              <w:rPr>
                <w:rFonts w:hint="eastAsia" w:asciiTheme="minorEastAsia" w:hAnsiTheme="minorEastAsia" w:eastAsiaTheme="minorEastAsia" w:cstheme="minorEastAsia"/>
                <w:color w:val="000000"/>
                <w:szCs w:val="21"/>
                <w:lang w:eastAsia="zh-CN"/>
              </w:rPr>
              <w:t>在金融机构</w:t>
            </w:r>
            <w:r>
              <w:rPr>
                <w:rFonts w:hint="eastAsia" w:asciiTheme="minorEastAsia" w:hAnsiTheme="minorEastAsia" w:eastAsiaTheme="minorEastAsia" w:cstheme="minorEastAsia"/>
                <w:color w:val="000000"/>
                <w:szCs w:val="21"/>
              </w:rPr>
              <w:t>成功实施信贷系统PMO管理项目或同等级难度的项目群PMO管理相关案例（提供案例相关合同的证明文件复印件），1个案例得</w:t>
            </w:r>
            <w:r>
              <w:rPr>
                <w:rFonts w:hint="eastAsia" w:asciiTheme="minorEastAsia" w:hAnsiTheme="minorEastAsia" w:eastAsiaTheme="minorEastAsia" w:cstheme="minorEastAsia"/>
                <w:color w:val="000000"/>
                <w:szCs w:val="21"/>
                <w:lang w:val="en-US" w:eastAsia="zh-CN"/>
              </w:rPr>
              <w:t>2</w:t>
            </w:r>
            <w:r>
              <w:rPr>
                <w:rFonts w:hint="eastAsia" w:asciiTheme="minorEastAsia" w:hAnsiTheme="minorEastAsia" w:eastAsiaTheme="minorEastAsia" w:cstheme="minorEastAsia"/>
                <w:color w:val="000000"/>
                <w:szCs w:val="21"/>
              </w:rPr>
              <w:t>分，最高得</w:t>
            </w:r>
            <w:r>
              <w:rPr>
                <w:rFonts w:hint="eastAsia" w:asciiTheme="minorEastAsia" w:hAnsiTheme="minorEastAsia" w:eastAsiaTheme="minorEastAsia" w:cstheme="minorEastAsia"/>
                <w:color w:val="000000"/>
                <w:szCs w:val="21"/>
                <w:lang w:val="en-US" w:eastAsia="zh-CN"/>
              </w:rPr>
              <w:t>10</w:t>
            </w:r>
            <w:r>
              <w:rPr>
                <w:rFonts w:hint="eastAsia" w:asciiTheme="minorEastAsia" w:hAnsiTheme="minorEastAsia" w:eastAsiaTheme="minorEastAsia" w:cstheme="minorEastAsia"/>
                <w:color w:val="000000"/>
                <w:szCs w:val="21"/>
              </w:rPr>
              <w:t>分。（同一家单位多个案例只能算一个</w:t>
            </w:r>
            <w:r>
              <w:rPr>
                <w:rFonts w:hint="eastAsia" w:asciiTheme="minorEastAsia" w:hAnsiTheme="minorEastAsia" w:eastAsiaTheme="minorEastAsia" w:cstheme="minorEastAsia"/>
                <w:color w:val="000000"/>
                <w:szCs w:val="21"/>
                <w:lang w:eastAsia="zh-CN"/>
              </w:rPr>
              <w:t>，</w:t>
            </w:r>
            <w:r>
              <w:rPr>
                <w:rFonts w:hint="eastAsia" w:asciiTheme="minorEastAsia" w:hAnsiTheme="minorEastAsia" w:eastAsiaTheme="minorEastAsia" w:cstheme="minorEastAsia"/>
                <w:color w:val="000000"/>
                <w:szCs w:val="21"/>
              </w:rPr>
              <w:t>原件根据需要提供备查）</w:t>
            </w:r>
          </w:p>
        </w:tc>
        <w:tc>
          <w:tcPr>
            <w:tcW w:w="102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jc w:val="center"/>
        </w:trPr>
        <w:tc>
          <w:tcPr>
            <w:tcW w:w="1070" w:type="dxa"/>
            <w:vMerge w:val="restart"/>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服务团队情况</w:t>
            </w:r>
          </w:p>
        </w:tc>
        <w:tc>
          <w:tcPr>
            <w:tcW w:w="1293" w:type="dxa"/>
            <w:vAlign w:val="center"/>
          </w:tcPr>
          <w:p>
            <w:pPr>
              <w:rPr>
                <w:rFonts w:ascii="仿宋_GB2312" w:hAnsi="仿宋_GB2312" w:eastAsia="仿宋_GB2312" w:cs="仿宋_GB2312"/>
                <w:szCs w:val="21"/>
                <w:highlight w:val="yellow"/>
              </w:rPr>
            </w:pPr>
            <w:r>
              <w:rPr>
                <w:rFonts w:hint="eastAsia" w:asciiTheme="minorEastAsia" w:hAnsiTheme="minorEastAsia" w:eastAsiaTheme="minorEastAsia" w:cstheme="minorEastAsia"/>
                <w:szCs w:val="21"/>
                <w:highlight w:val="none"/>
              </w:rPr>
              <w:t>项目团队实力</w:t>
            </w:r>
          </w:p>
        </w:tc>
        <w:tc>
          <w:tcPr>
            <w:tcW w:w="1087" w:type="dxa"/>
            <w:vAlign w:val="center"/>
          </w:tcPr>
          <w:p>
            <w:pPr>
              <w:jc w:val="center"/>
              <w:rPr>
                <w:rFonts w:ascii="仿宋_GB2312" w:hAnsi="仿宋_GB2312" w:eastAsia="仿宋_GB2312" w:cs="仿宋_GB2312"/>
                <w:szCs w:val="21"/>
                <w:highlight w:val="yellow"/>
              </w:rPr>
            </w:pPr>
            <w:r>
              <w:rPr>
                <w:rFonts w:hint="eastAsia" w:asciiTheme="minorEastAsia" w:hAnsiTheme="minorEastAsia" w:eastAsiaTheme="minorEastAsia" w:cstheme="minorEastAsia"/>
                <w:color w:val="000000"/>
                <w:szCs w:val="21"/>
                <w:highlight w:val="none"/>
              </w:rPr>
              <w:t>1</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tc>
        <w:tc>
          <w:tcPr>
            <w:tcW w:w="5486" w:type="dxa"/>
            <w:vAlign w:val="center"/>
          </w:tcPr>
          <w:p>
            <w:p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1.</w:t>
            </w:r>
            <w:r>
              <w:rPr>
                <w:rFonts w:hint="eastAsia" w:asciiTheme="minorEastAsia" w:hAnsiTheme="minorEastAsia" w:eastAsiaTheme="minorEastAsia" w:cstheme="minorEastAsia"/>
                <w:szCs w:val="21"/>
                <w:highlight w:val="none"/>
              </w:rPr>
              <w:t>项目总监</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p>
            <w:pPr>
              <w:numPr>
                <w:ilvl w:val="0"/>
                <w:numId w:val="0"/>
              </w:num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2.项目经理及其他人员</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p>
            <w:pPr>
              <w:numPr>
                <w:ilvl w:val="0"/>
                <w:numId w:val="0"/>
              </w:numPr>
              <w:jc w:val="left"/>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3.项目咨询专家顾问</w:t>
            </w:r>
            <w:r>
              <w:rPr>
                <w:rFonts w:hint="eastAsia" w:asciiTheme="minorEastAsia" w:hAnsiTheme="minorEastAsia" w:eastAsiaTheme="minorEastAsia" w:cstheme="minorEastAsia"/>
                <w:color w:val="000000"/>
                <w:szCs w:val="21"/>
                <w:highlight w:val="none"/>
              </w:rPr>
              <w:t>（共</w:t>
            </w:r>
            <w:r>
              <w:rPr>
                <w:rFonts w:hint="eastAsia" w:asciiTheme="minorEastAsia" w:hAnsiTheme="minorEastAsia" w:eastAsiaTheme="minorEastAsia" w:cstheme="minorEastAsia"/>
                <w:color w:val="000000"/>
                <w:szCs w:val="21"/>
                <w:highlight w:val="none"/>
                <w:lang w:val="en-US" w:eastAsia="zh-CN"/>
              </w:rPr>
              <w:t>5</w:t>
            </w:r>
            <w:r>
              <w:rPr>
                <w:rFonts w:hint="eastAsia" w:asciiTheme="minorEastAsia" w:hAnsiTheme="minorEastAsia" w:eastAsiaTheme="minorEastAsia" w:cstheme="minorEastAsia"/>
                <w:color w:val="000000"/>
                <w:szCs w:val="21"/>
                <w:highlight w:val="none"/>
              </w:rPr>
              <w:t>分）</w:t>
            </w:r>
          </w:p>
          <w:p>
            <w:pPr>
              <w:ind w:firstLine="210" w:firstLineChars="100"/>
              <w:jc w:val="left"/>
              <w:rPr>
                <w:rFonts w:ascii="仿宋_GB2312" w:hAnsi="仿宋_GB2312" w:eastAsia="仿宋_GB2312" w:cs="仿宋_GB2312"/>
                <w:szCs w:val="21"/>
                <w:highlight w:val="yellow"/>
              </w:rPr>
            </w:pPr>
            <w:r>
              <w:rPr>
                <w:rFonts w:hint="eastAsia" w:asciiTheme="minorEastAsia" w:hAnsiTheme="minorEastAsia" w:eastAsiaTheme="minorEastAsia" w:cstheme="minorEastAsia"/>
                <w:szCs w:val="21"/>
                <w:highlight w:val="none"/>
              </w:rPr>
              <w:t>根据供应商提供的项目团队人员工作经验酌情给分（0分&lt;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一般&lt;=1分；1分&lt;较好&lt;=3分；3分&lt;优良&lt;=5分）</w:t>
            </w:r>
          </w:p>
        </w:tc>
        <w:tc>
          <w:tcPr>
            <w:tcW w:w="102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jc w:val="center"/>
        </w:trPr>
        <w:tc>
          <w:tcPr>
            <w:tcW w:w="1070" w:type="dxa"/>
            <w:vMerge w:val="continue"/>
            <w:vAlign w:val="center"/>
          </w:tcPr>
          <w:p>
            <w:pPr>
              <w:jc w:val="left"/>
              <w:rPr>
                <w:rFonts w:ascii="仿宋_GB2312" w:hAnsi="仿宋_GB2312" w:eastAsia="仿宋_GB2312" w:cs="仿宋_GB2312"/>
                <w:color w:val="000000"/>
                <w:szCs w:val="21"/>
              </w:rPr>
            </w:pPr>
          </w:p>
        </w:tc>
        <w:tc>
          <w:tcPr>
            <w:tcW w:w="1293" w:type="dxa"/>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现场陈述</w:t>
            </w:r>
          </w:p>
        </w:tc>
        <w:tc>
          <w:tcPr>
            <w:tcW w:w="1087" w:type="dxa"/>
            <w:vAlign w:val="center"/>
          </w:tcPr>
          <w:p>
            <w:pPr>
              <w:jc w:val="center"/>
              <w:rPr>
                <w:rFonts w:ascii="仿宋_GB2312" w:hAnsi="仿宋_GB2312" w:eastAsia="仿宋_GB2312" w:cs="仿宋_GB2312"/>
                <w:color w:val="000000"/>
                <w:szCs w:val="21"/>
              </w:rPr>
            </w:pPr>
            <w:r>
              <w:rPr>
                <w:rFonts w:hint="eastAsia" w:asciiTheme="minorEastAsia" w:hAnsiTheme="minorEastAsia" w:eastAsiaTheme="minorEastAsia" w:cstheme="minorEastAsia"/>
                <w:color w:val="000000"/>
                <w:szCs w:val="21"/>
              </w:rPr>
              <w:t>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由评委根据现场陈述情况酌情打分：</w:t>
            </w:r>
          </w:p>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（0分&lt;一般&lt;=1分；1分&lt;较好&lt;=3分；3分&lt;优良&lt;=5分；不到场或不陈述，得0分。）</w:t>
            </w:r>
          </w:p>
        </w:tc>
        <w:tc>
          <w:tcPr>
            <w:tcW w:w="1026"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restart"/>
            <w:vAlign w:val="center"/>
          </w:tcPr>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hint="eastAsia" w:asciiTheme="minorEastAsia" w:hAnsiTheme="minorEastAsia" w:eastAsiaTheme="minorEastAsia" w:cstheme="minorEastAsia"/>
                <w:color w:val="000000"/>
                <w:szCs w:val="21"/>
              </w:rPr>
            </w:pPr>
          </w:p>
          <w:p>
            <w:pPr>
              <w:jc w:val="left"/>
              <w:rPr>
                <w:rFonts w:ascii="仿宋_GB2312" w:hAnsi="仿宋_GB2312" w:eastAsia="仿宋_GB2312" w:cs="仿宋_GB2312"/>
                <w:color w:val="000000"/>
                <w:szCs w:val="21"/>
                <w:shd w:val="clear" w:color="auto" w:fill="FFFFFF"/>
              </w:rPr>
            </w:pPr>
            <w:r>
              <w:rPr>
                <w:rFonts w:hint="eastAsia" w:asciiTheme="minorEastAsia" w:hAnsiTheme="minorEastAsia" w:eastAsiaTheme="minorEastAsia" w:cstheme="minorEastAsia"/>
                <w:color w:val="000000"/>
                <w:szCs w:val="21"/>
              </w:rPr>
              <w:t>工作方案、成果交付、增值服务、知识转移、培训等满意度</w:t>
            </w:r>
          </w:p>
        </w:tc>
        <w:tc>
          <w:tcPr>
            <w:tcW w:w="1293" w:type="dxa"/>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对项目的理解程度</w:t>
            </w:r>
          </w:p>
        </w:tc>
        <w:tc>
          <w:tcPr>
            <w:tcW w:w="1087" w:type="dxa"/>
            <w:vAlign w:val="center"/>
          </w:tcPr>
          <w:p>
            <w:pPr>
              <w:jc w:val="center"/>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5分</w:t>
            </w:r>
          </w:p>
        </w:tc>
        <w:tc>
          <w:tcPr>
            <w:tcW w:w="5486" w:type="dxa"/>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对项目理解和认识全面、透彻、清晰、深刻，能够提供本行信贷系统规划服务项目关键方向和需求要点，清晰了解信贷系统相关领域的发展趋势和具备信贷系统相关项目落地方法和实践。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一般&lt;=1分；1分&lt;较好&lt;=3分；3分&lt;优良&lt;=5分）</w:t>
            </w:r>
          </w:p>
        </w:tc>
        <w:tc>
          <w:tcPr>
            <w:tcW w:w="102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continue"/>
            <w:vAlign w:val="center"/>
          </w:tcPr>
          <w:p>
            <w:pPr>
              <w:jc w:val="left"/>
              <w:rPr>
                <w:rFonts w:ascii="仿宋_GB2312" w:hAnsi="仿宋_GB2312" w:eastAsia="仿宋_GB2312" w:cs="仿宋_GB2312"/>
                <w:color w:val="000000"/>
                <w:szCs w:val="21"/>
                <w:shd w:val="clear" w:color="auto" w:fill="FFFFFF"/>
              </w:rPr>
            </w:pPr>
          </w:p>
        </w:tc>
        <w:tc>
          <w:tcPr>
            <w:tcW w:w="1293" w:type="dxa"/>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成果交付、实施方案</w:t>
            </w:r>
          </w:p>
        </w:tc>
        <w:tc>
          <w:tcPr>
            <w:tcW w:w="1087" w:type="dxa"/>
            <w:vAlign w:val="center"/>
          </w:tcPr>
          <w:p>
            <w:pPr>
              <w:jc w:val="center"/>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25分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1.项目成交交付（共10分）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项目实施内容能够提供完整、合理、清晰</w:t>
            </w:r>
            <w:r>
              <w:rPr>
                <w:rFonts w:hint="eastAsia" w:asciiTheme="minorEastAsia" w:hAnsiTheme="minorEastAsia" w:eastAsiaTheme="minorEastAsia" w:cstheme="minorEastAsia"/>
                <w:color w:val="000000"/>
                <w:szCs w:val="21"/>
                <w:lang w:eastAsia="zh-CN"/>
              </w:rPr>
              <w:t>，有效保证进度质量，且</w:t>
            </w:r>
            <w:r>
              <w:rPr>
                <w:rFonts w:hint="eastAsia" w:asciiTheme="minorEastAsia" w:hAnsiTheme="minorEastAsia" w:eastAsiaTheme="minorEastAsia" w:cstheme="minorEastAsia"/>
                <w:color w:val="000000"/>
                <w:szCs w:val="21"/>
              </w:rPr>
              <w:t>实施交付数量超出需求范围的或提供额外支持服务的（7分&lt;优良&lt;=10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项目实施内容能够提供完整、合理、清晰的交付件，无重大偏差和瑕疵，有效保证采购人项目进度质量的（4分&lt;较好&lt;=7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项目交付物基本涵盖本行提出的要求，但较为笼统，不够清晰的（0分&lt;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一般&lt;=4 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2.项目实施方案（共15分）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项目实施方案科学、周密、清晰，进度安排合理、质量控制手段有效的（10&lt;优良&lt;=15）；</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项目实施方案基本合理和有效，但在进度安排、质量控制等方面有可能存在一定瑕疵或风险（5&lt;较好&lt;=10）；</w:t>
            </w:r>
          </w:p>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 xml:space="preserve">  项目实施方案不合理，进度安排、质量控制等方面存在瑕疵或风险的（0&lt;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一般&lt;=5）。</w:t>
            </w:r>
          </w:p>
        </w:tc>
        <w:tc>
          <w:tcPr>
            <w:tcW w:w="1026" w:type="dxa"/>
            <w:vAlign w:val="center"/>
          </w:tcPr>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Merge w:val="continue"/>
            <w:vAlign w:val="center"/>
          </w:tcPr>
          <w:p>
            <w:pPr>
              <w:jc w:val="left"/>
              <w:rPr>
                <w:rFonts w:ascii="仿宋_GB2312" w:hAnsi="仿宋_GB2312" w:eastAsia="仿宋_GB2312" w:cs="仿宋_GB2312"/>
                <w:color w:val="000000"/>
                <w:szCs w:val="21"/>
                <w:shd w:val="clear" w:color="auto" w:fill="FFFFFF"/>
              </w:rPr>
            </w:pPr>
          </w:p>
        </w:tc>
        <w:tc>
          <w:tcPr>
            <w:tcW w:w="1293" w:type="dxa"/>
            <w:vAlign w:val="center"/>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实施计划、服务承诺、增值服务、知识转移与培训</w:t>
            </w:r>
          </w:p>
        </w:tc>
        <w:tc>
          <w:tcPr>
            <w:tcW w:w="1087" w:type="dxa"/>
            <w:vAlign w:val="center"/>
          </w:tcPr>
          <w:p>
            <w:pPr>
              <w:jc w:val="center"/>
              <w:rPr>
                <w:rFonts w:ascii="仿宋_GB2312" w:hAnsi="仿宋_GB2312" w:eastAsia="仿宋_GB2312" w:cs="仿宋_GB2312"/>
                <w:color w:val="000000"/>
                <w:szCs w:val="21"/>
                <w:shd w:val="clear" w:color="auto" w:fill="FFFFFF"/>
              </w:rPr>
            </w:pPr>
            <w:r>
              <w:rPr>
                <w:rFonts w:hint="eastAsia" w:asciiTheme="minorEastAsia" w:hAnsiTheme="minorEastAsia" w:eastAsia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5分</w:t>
            </w:r>
          </w:p>
        </w:tc>
        <w:tc>
          <w:tcPr>
            <w:tcW w:w="5486" w:type="dxa"/>
            <w:vAlign w:val="center"/>
          </w:tcPr>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1.项目实施计划（共5分）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有详细的项目实施计划、资源投入计划，并有指出合理的风险控制点和项目实施关键点，项目实施时间安排合理，且能够在计划的时间内保质保量完成项目（3分&lt;优良&lt;=5分）；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项目实施时间安排较为合理，但存在延误项目实施工期的可能性（1分&lt;较好&lt;=3分）；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项目实施时间安排不合理的（0分&lt;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2.项目服务承诺（共5分）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服务承诺要求包括信贷系统规划服务和后续规划成果落地实施支持，根据供应商响应文件提供内容酌情打分（0分&lt;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一般&lt;=1分；1分&lt;较好&lt;=3分；3分&lt;优良&lt;=5分）</w:t>
            </w:r>
          </w:p>
          <w:p>
            <w:pPr>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3.项目增值服务和项目知识转移与培训（共5分）</w:t>
            </w:r>
          </w:p>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根据供应商响应文件提供内容酌情打分（0分&lt;</w:t>
            </w:r>
            <w:r>
              <w:rPr>
                <w:rFonts w:hint="eastAsia" w:asciiTheme="minorEastAsia" w:hAnsiTheme="minorEastAsia" w:eastAsiaTheme="minorEastAsia" w:cstheme="minorEastAsia"/>
                <w:color w:val="000000"/>
                <w:szCs w:val="21"/>
                <w:lang w:val="en-US" w:eastAsia="zh-CN"/>
              </w:rPr>
              <w:t>=</w:t>
            </w:r>
            <w:r>
              <w:rPr>
                <w:rFonts w:hint="eastAsia" w:asciiTheme="minorEastAsia" w:hAnsiTheme="minorEastAsia" w:eastAsiaTheme="minorEastAsia" w:cstheme="minorEastAsia"/>
                <w:color w:val="000000"/>
                <w:szCs w:val="21"/>
              </w:rPr>
              <w:t>一般&lt;=1分</w:t>
            </w:r>
            <w:r>
              <w:rPr>
                <w:rFonts w:hint="eastAsia" w:asciiTheme="minorEastAsia" w:hAnsiTheme="minorEastAsia" w:eastAsiaTheme="minorEastAsia" w:cstheme="minorEastAsia"/>
                <w:color w:val="000000"/>
                <w:szCs w:val="21"/>
                <w:lang w:eastAsia="zh-CN"/>
              </w:rPr>
              <w:t>；</w:t>
            </w:r>
            <w:r>
              <w:rPr>
                <w:rFonts w:hint="eastAsia" w:asciiTheme="minorEastAsia" w:hAnsiTheme="minorEastAsia" w:eastAsiaTheme="minorEastAsia" w:cstheme="minorEastAsia"/>
                <w:color w:val="000000"/>
                <w:szCs w:val="21"/>
              </w:rPr>
              <w:t>1分&lt;较好&lt;=3分；3分&lt;优良&lt;=5 分）</w:t>
            </w:r>
          </w:p>
        </w:tc>
        <w:tc>
          <w:tcPr>
            <w:tcW w:w="102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070" w:type="dxa"/>
            <w:vAlign w:val="top"/>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商务部分</w:t>
            </w:r>
          </w:p>
        </w:tc>
        <w:tc>
          <w:tcPr>
            <w:tcW w:w="1293" w:type="dxa"/>
            <w:vAlign w:val="top"/>
          </w:tcPr>
          <w:p>
            <w:pPr>
              <w:jc w:val="left"/>
              <w:rPr>
                <w:rFonts w:ascii="仿宋_GB2312" w:hAnsi="仿宋_GB2312" w:eastAsia="仿宋_GB2312" w:cs="仿宋_GB2312"/>
                <w:szCs w:val="21"/>
              </w:rPr>
            </w:pPr>
            <w:r>
              <w:rPr>
                <w:rFonts w:hint="eastAsia" w:asciiTheme="minorEastAsia" w:hAnsiTheme="minorEastAsia" w:eastAsiaTheme="minorEastAsia" w:cstheme="minorEastAsia"/>
                <w:color w:val="000000"/>
                <w:szCs w:val="21"/>
              </w:rPr>
              <w:t>商务报价</w:t>
            </w:r>
          </w:p>
        </w:tc>
        <w:tc>
          <w:tcPr>
            <w:tcW w:w="1087" w:type="dxa"/>
            <w:vAlign w:val="top"/>
          </w:tcPr>
          <w:p>
            <w:pPr>
              <w:jc w:val="center"/>
              <w:rPr>
                <w:rFonts w:ascii="仿宋_GB2312" w:hAnsi="仿宋_GB2312" w:eastAsia="仿宋_GB2312" w:cs="仿宋_GB2312"/>
                <w:szCs w:val="21"/>
                <w:highlight w:val="yellow"/>
              </w:rPr>
            </w:pP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分</w:t>
            </w:r>
          </w:p>
        </w:tc>
        <w:tc>
          <w:tcPr>
            <w:tcW w:w="5486" w:type="dxa"/>
            <w:vAlign w:val="top"/>
          </w:tcPr>
          <w:p>
            <w:pPr>
              <w:jc w:val="left"/>
              <w:rPr>
                <w:rFonts w:ascii="仿宋_GB2312" w:hAnsi="仿宋_GB2312" w:eastAsia="仿宋_GB2312" w:cs="仿宋_GB2312"/>
                <w:szCs w:val="21"/>
                <w:highlight w:val="yellow"/>
              </w:rPr>
            </w:pPr>
            <w:r>
              <w:rPr>
                <w:rFonts w:hint="eastAsia" w:asciiTheme="minorEastAsia" w:hAnsiTheme="minorEastAsia" w:eastAsiaTheme="minorEastAsia" w:cstheme="minorEastAsia"/>
                <w:color w:val="000000"/>
                <w:szCs w:val="21"/>
                <w:highlight w:val="none"/>
              </w:rPr>
              <w:t>以各有效供应商最终报价的最低价作为评审基准价，基准价得满分</w:t>
            </w: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分，其他价格得分=(评审基准价/最终报价）×</w:t>
            </w:r>
            <w:r>
              <w:rPr>
                <w:rFonts w:hint="eastAsia" w:asciiTheme="minorEastAsia" w:hAnsiTheme="minorEastAsia" w:eastAsiaTheme="minorEastAsia" w:cstheme="minorEastAsia"/>
                <w:color w:val="000000"/>
                <w:szCs w:val="21"/>
                <w:highlight w:val="none"/>
                <w:lang w:val="en-US" w:eastAsia="zh-CN"/>
              </w:rPr>
              <w:t>25</w:t>
            </w:r>
            <w:r>
              <w:rPr>
                <w:rFonts w:hint="eastAsia" w:asciiTheme="minorEastAsia" w:hAnsiTheme="minorEastAsia" w:eastAsiaTheme="minorEastAsia" w:cstheme="minorEastAsia"/>
                <w:color w:val="000000"/>
                <w:szCs w:val="21"/>
                <w:highlight w:val="none"/>
              </w:rPr>
              <w:t>×100%。（结果保留2位小数）</w:t>
            </w:r>
          </w:p>
        </w:tc>
        <w:tc>
          <w:tcPr>
            <w:tcW w:w="102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P</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页</w:t>
            </w:r>
          </w:p>
        </w:tc>
      </w:tr>
    </w:tbl>
    <w:p>
      <w:pPr>
        <w:pStyle w:val="8"/>
        <w:overflowPunct w:val="0"/>
        <w:spacing w:line="360" w:lineRule="auto"/>
        <w:ind w:firstLine="0"/>
        <w:rPr>
          <w:rFonts w:ascii="仿宋_GB2312" w:hAnsi="仿宋_GB2312" w:eastAsia="仿宋_GB2312" w:cs="仿宋_GB2312"/>
          <w:szCs w:val="21"/>
        </w:rPr>
      </w:pPr>
    </w:p>
    <w:p>
      <w:pPr>
        <w:ind w:firstLine="7980" w:firstLineChars="3800"/>
        <w:rPr>
          <w:rFonts w:hint="eastAsia" w:eastAsia="宋体"/>
          <w:lang w:eastAsia="zh-CN"/>
        </w:rPr>
      </w:pPr>
      <w:r>
        <w:rPr>
          <w:rFonts w:hint="eastAsia"/>
          <w:lang w:eastAsia="zh-CN"/>
        </w:rPr>
        <w:t>全文完</w:t>
      </w:r>
    </w:p>
    <w:sectPr>
      <w:pgSz w:w="11906" w:h="16838"/>
      <w:pgMar w:top="1361" w:right="1080" w:bottom="1361"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细黑一简体">
    <w:altName w:val="黑体"/>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1"/>
        <w:szCs w:val="21"/>
      </w:rP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1"/>
        <w:szCs w:val="21"/>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0B0F52"/>
    <w:multiLevelType w:val="singleLevel"/>
    <w:tmpl w:val="970B0F52"/>
    <w:lvl w:ilvl="0" w:tentative="0">
      <w:start w:val="1"/>
      <w:numFmt w:val="chineseCounting"/>
      <w:suff w:val="nothing"/>
      <w:lvlText w:val="（%1）"/>
      <w:lvlJc w:val="left"/>
      <w:rPr>
        <w:rFonts w:hint="eastAsia"/>
      </w:rPr>
    </w:lvl>
  </w:abstractNum>
  <w:abstractNum w:abstractNumId="1">
    <w:nsid w:val="A4E56BFD"/>
    <w:multiLevelType w:val="singleLevel"/>
    <w:tmpl w:val="A4E56BFD"/>
    <w:lvl w:ilvl="0" w:tentative="0">
      <w:start w:val="8"/>
      <w:numFmt w:val="decimal"/>
      <w:suff w:val="nothing"/>
      <w:lvlText w:val="%1、"/>
      <w:lvlJc w:val="left"/>
    </w:lvl>
  </w:abstractNum>
  <w:abstractNum w:abstractNumId="2">
    <w:nsid w:val="E5B126FF"/>
    <w:multiLevelType w:val="singleLevel"/>
    <w:tmpl w:val="E5B126FF"/>
    <w:lvl w:ilvl="0" w:tentative="0">
      <w:start w:val="3"/>
      <w:numFmt w:val="decimal"/>
      <w:suff w:val="space"/>
      <w:lvlText w:val="%1."/>
      <w:lvlJc w:val="left"/>
    </w:lvl>
  </w:abstractNum>
  <w:abstractNum w:abstractNumId="3">
    <w:nsid w:val="00000003"/>
    <w:multiLevelType w:val="singleLevel"/>
    <w:tmpl w:val="00000003"/>
    <w:lvl w:ilvl="0" w:tentative="0">
      <w:start w:val="1"/>
      <w:numFmt w:val="decimal"/>
      <w:suff w:val="nothing"/>
      <w:lvlText w:val="（%1）"/>
      <w:lvlJc w:val="left"/>
    </w:lvl>
  </w:abstractNum>
  <w:abstractNum w:abstractNumId="4">
    <w:nsid w:val="00000005"/>
    <w:multiLevelType w:val="singleLevel"/>
    <w:tmpl w:val="00000005"/>
    <w:lvl w:ilvl="0" w:tentative="0">
      <w:start w:val="1"/>
      <w:numFmt w:val="decimal"/>
      <w:suff w:val="nothing"/>
      <w:lvlText w:val="%1、"/>
      <w:lvlJc w:val="left"/>
    </w:lvl>
  </w:abstractNum>
  <w:abstractNum w:abstractNumId="5">
    <w:nsid w:val="00000009"/>
    <w:multiLevelType w:val="singleLevel"/>
    <w:tmpl w:val="00000009"/>
    <w:lvl w:ilvl="0" w:tentative="0">
      <w:start w:val="1"/>
      <w:numFmt w:val="decimal"/>
      <w:suff w:val="nothing"/>
      <w:lvlText w:val="（%1）"/>
      <w:lvlJc w:val="left"/>
    </w:lvl>
  </w:abstractNum>
  <w:abstractNum w:abstractNumId="6">
    <w:nsid w:val="0000000F"/>
    <w:multiLevelType w:val="singleLevel"/>
    <w:tmpl w:val="0000000F"/>
    <w:lvl w:ilvl="0" w:tentative="0">
      <w:start w:val="11"/>
      <w:numFmt w:val="decimal"/>
      <w:suff w:val="nothing"/>
      <w:lvlText w:val="%1."/>
      <w:lvlJc w:val="left"/>
    </w:lvl>
  </w:abstractNum>
  <w:abstractNum w:abstractNumId="7">
    <w:nsid w:val="00000011"/>
    <w:multiLevelType w:val="multilevel"/>
    <w:tmpl w:val="00000011"/>
    <w:lvl w:ilvl="0" w:tentative="0">
      <w:start w:val="1"/>
      <w:numFmt w:val="chineseCountingThousand"/>
      <w:pStyle w:val="28"/>
      <w:lvlText w:val="%1、"/>
      <w:lvlJc w:val="left"/>
      <w:pPr>
        <w:tabs>
          <w:tab w:val="left" w:pos="624"/>
        </w:tabs>
        <w:ind w:left="624" w:hanging="624"/>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chineseCountingThousand"/>
      <w:lvlText w:val="%4、"/>
      <w:lvlJc w:val="left"/>
      <w:pPr>
        <w:tabs>
          <w:tab w:val="left" w:pos="1884"/>
        </w:tabs>
        <w:ind w:left="1884" w:hanging="624"/>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3"/>
    <w:multiLevelType w:val="singleLevel"/>
    <w:tmpl w:val="00000013"/>
    <w:lvl w:ilvl="0" w:tentative="0">
      <w:start w:val="1"/>
      <w:numFmt w:val="decimal"/>
      <w:suff w:val="nothing"/>
      <w:lvlText w:val="%1）"/>
      <w:lvlJc w:val="left"/>
    </w:lvl>
  </w:abstractNum>
  <w:abstractNum w:abstractNumId="9">
    <w:nsid w:val="00000014"/>
    <w:multiLevelType w:val="multilevel"/>
    <w:tmpl w:val="00000014"/>
    <w:lvl w:ilvl="0" w:tentative="0">
      <w:start w:val="1"/>
      <w:numFmt w:val="chineseCounting"/>
      <w:suff w:val="nothing"/>
      <w:lvlText w:val="（%1）"/>
      <w:lvlJc w:val="left"/>
    </w:lvl>
    <w:lvl w:ilvl="1" w:tentative="0">
      <w:start w:val="1"/>
      <w:numFmt w:val="decimal"/>
      <w:pStyle w:val="4"/>
      <w:lvlText w:val="%1.%2"/>
      <w:lvlJc w:val="left"/>
      <w:pPr>
        <w:ind w:left="992" w:hanging="567"/>
      </w:pPr>
      <w:rPr>
        <w:rFonts w:hint="eastAsia" w:ascii="宋体" w:hAnsi="宋体" w:eastAsia="宋体" w:cs="Times New Roman"/>
        <w:b/>
      </w:rPr>
    </w:lvl>
    <w:lvl w:ilvl="2" w:tentative="0">
      <w:start w:val="1"/>
      <w:numFmt w:val="decimal"/>
      <w:lvlText w:val="%1.%2.%3"/>
      <w:lvlJc w:val="left"/>
      <w:pPr>
        <w:ind w:left="5247" w:hanging="567"/>
      </w:pPr>
      <w:rPr>
        <w:rFonts w:hint="eastAsia" w:cs="Times New Roman"/>
      </w:rPr>
    </w:lvl>
    <w:lvl w:ilvl="3" w:tentative="0">
      <w:start w:val="1"/>
      <w:numFmt w:val="decimal"/>
      <w:lvlText w:val="%1.%2.%3.%4"/>
      <w:lvlJc w:val="left"/>
      <w:pPr>
        <w:ind w:left="1984" w:hanging="708"/>
      </w:pPr>
      <w:rPr>
        <w:rFonts w:hint="eastAsia" w:ascii="宋体" w:hAnsi="宋体" w:eastAsia="宋体"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0">
    <w:nsid w:val="41B80338"/>
    <w:multiLevelType w:val="singleLevel"/>
    <w:tmpl w:val="41B80338"/>
    <w:lvl w:ilvl="0" w:tentative="0">
      <w:start w:val="1"/>
      <w:numFmt w:val="chineseCounting"/>
      <w:suff w:val="nothing"/>
      <w:lvlText w:val="（%1）"/>
      <w:lvlJc w:val="left"/>
      <w:pPr>
        <w:ind w:left="840" w:firstLine="420"/>
      </w:pPr>
      <w:rPr>
        <w:rFonts w:hint="eastAsia"/>
      </w:rPr>
    </w:lvl>
  </w:abstractNum>
  <w:abstractNum w:abstractNumId="11">
    <w:nsid w:val="5A211AA0"/>
    <w:multiLevelType w:val="singleLevel"/>
    <w:tmpl w:val="5A211AA0"/>
    <w:lvl w:ilvl="0" w:tentative="0">
      <w:start w:val="1"/>
      <w:numFmt w:val="chineseCounting"/>
      <w:suff w:val="nothing"/>
      <w:lvlText w:val="（%1）"/>
      <w:lvlJc w:val="left"/>
      <w:pPr>
        <w:ind w:left="0" w:firstLine="420"/>
      </w:pPr>
      <w:rPr>
        <w:rFonts w:hint="eastAsia"/>
      </w:rPr>
    </w:lvl>
  </w:abstractNum>
  <w:num w:numId="1">
    <w:abstractNumId w:val="9"/>
  </w:num>
  <w:num w:numId="2">
    <w:abstractNumId w:val="7"/>
  </w:num>
  <w:num w:numId="3">
    <w:abstractNumId w:val="1"/>
  </w:num>
  <w:num w:numId="4">
    <w:abstractNumId w:val="8"/>
  </w:num>
  <w:num w:numId="5">
    <w:abstractNumId w:val="3"/>
  </w:num>
  <w:num w:numId="6">
    <w:abstractNumId w:val="5"/>
  </w:num>
  <w:num w:numId="7">
    <w:abstractNumId w:val="6"/>
  </w:num>
  <w:num w:numId="8">
    <w:abstractNumId w:val="2"/>
  </w:num>
  <w:num w:numId="9">
    <w:abstractNumId w:val="0"/>
  </w:num>
  <w:num w:numId="10">
    <w:abstractNumId w:val="11"/>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1C7AF5"/>
    <w:rsid w:val="00197218"/>
    <w:rsid w:val="00314D47"/>
    <w:rsid w:val="003D6A8D"/>
    <w:rsid w:val="004D527F"/>
    <w:rsid w:val="004F6D5F"/>
    <w:rsid w:val="005E0475"/>
    <w:rsid w:val="00745AF2"/>
    <w:rsid w:val="007E0968"/>
    <w:rsid w:val="00914DFB"/>
    <w:rsid w:val="00C55FD6"/>
    <w:rsid w:val="01A23648"/>
    <w:rsid w:val="01F53EE3"/>
    <w:rsid w:val="06AF14B2"/>
    <w:rsid w:val="075D7643"/>
    <w:rsid w:val="075E7731"/>
    <w:rsid w:val="08355B56"/>
    <w:rsid w:val="0C0E4CDB"/>
    <w:rsid w:val="17BE011A"/>
    <w:rsid w:val="19390C0C"/>
    <w:rsid w:val="1C3D2325"/>
    <w:rsid w:val="22600470"/>
    <w:rsid w:val="23D86C72"/>
    <w:rsid w:val="271A18E9"/>
    <w:rsid w:val="2983044A"/>
    <w:rsid w:val="2B1D2565"/>
    <w:rsid w:val="2E1C7AF5"/>
    <w:rsid w:val="30F94E7E"/>
    <w:rsid w:val="34C47954"/>
    <w:rsid w:val="37E6632B"/>
    <w:rsid w:val="3A943F83"/>
    <w:rsid w:val="3AB272A5"/>
    <w:rsid w:val="3B635F76"/>
    <w:rsid w:val="47F5311A"/>
    <w:rsid w:val="49F3335B"/>
    <w:rsid w:val="4B141C0F"/>
    <w:rsid w:val="4C7A286C"/>
    <w:rsid w:val="4D2E7C6D"/>
    <w:rsid w:val="4E0712E3"/>
    <w:rsid w:val="4ED32598"/>
    <w:rsid w:val="50F44BF9"/>
    <w:rsid w:val="52156D8B"/>
    <w:rsid w:val="574440ED"/>
    <w:rsid w:val="61FF36B0"/>
    <w:rsid w:val="64987289"/>
    <w:rsid w:val="64F57D91"/>
    <w:rsid w:val="651D1377"/>
    <w:rsid w:val="65EB7678"/>
    <w:rsid w:val="6D101915"/>
    <w:rsid w:val="725B1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tabs>
        <w:tab w:val="left" w:pos="1134"/>
      </w:tabs>
      <w:adjustRightInd w:val="0"/>
      <w:snapToGrid w:val="0"/>
      <w:spacing w:beforeLines="50" w:afterLines="50"/>
      <w:jc w:val="center"/>
      <w:outlineLvl w:val="0"/>
    </w:pPr>
    <w:rPr>
      <w:rFonts w:ascii="宋体" w:hAnsi="宋体"/>
      <w:b/>
    </w:rPr>
  </w:style>
  <w:style w:type="paragraph" w:styleId="4">
    <w:name w:val="heading 2"/>
    <w:basedOn w:val="1"/>
    <w:next w:val="1"/>
    <w:qFormat/>
    <w:uiPriority w:val="0"/>
    <w:pPr>
      <w:keepNext/>
      <w:keepLines/>
      <w:numPr>
        <w:ilvl w:val="1"/>
        <w:numId w:val="1"/>
      </w:numPr>
      <w:spacing w:before="260" w:after="260" w:line="413" w:lineRule="auto"/>
      <w:outlineLvl w:val="1"/>
    </w:pPr>
    <w:rPr>
      <w:rFonts w:ascii="Arial" w:hAnsi="Arial" w:eastAsia="黑体"/>
      <w:b/>
      <w:sz w:val="32"/>
      <w:szCs w:val="20"/>
    </w:rPr>
  </w:style>
  <w:style w:type="paragraph" w:styleId="5">
    <w:name w:val="heading 3"/>
    <w:basedOn w:val="4"/>
    <w:next w:val="1"/>
    <w:qFormat/>
    <w:uiPriority w:val="0"/>
    <w:pPr>
      <w:jc w:val="center"/>
      <w:outlineLvl w:val="2"/>
    </w:pPr>
  </w:style>
  <w:style w:type="paragraph" w:styleId="6">
    <w:name w:val="heading 4"/>
    <w:basedOn w:val="1"/>
    <w:next w:val="1"/>
    <w:qFormat/>
    <w:uiPriority w:val="0"/>
    <w:pPr>
      <w:keepNext/>
      <w:keepLines/>
      <w:spacing w:line="372" w:lineRule="auto"/>
      <w:outlineLvl w:val="3"/>
    </w:pPr>
    <w:rPr>
      <w:rFonts w:ascii="Arial" w:hAnsi="Arial" w:eastAsia="黑体"/>
      <w:b/>
      <w:sz w:val="28"/>
    </w:rPr>
  </w:style>
  <w:style w:type="character" w:default="1" w:styleId="15">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Times New Roman"/>
      <w:sz w:val="24"/>
    </w:rPr>
  </w:style>
  <w:style w:type="paragraph" w:styleId="7">
    <w:name w:val="Body Text First Indent"/>
    <w:basedOn w:val="2"/>
    <w:qFormat/>
    <w:uiPriority w:val="0"/>
    <w:pPr>
      <w:spacing w:line="360" w:lineRule="auto"/>
      <w:ind w:firstLine="200" w:firstLineChars="200"/>
    </w:pPr>
    <w:rPr>
      <w:rFonts w:hAnsi="Times New Roman"/>
    </w:rPr>
  </w:style>
  <w:style w:type="paragraph" w:styleId="8">
    <w:name w:val="Normal Indent"/>
    <w:basedOn w:val="1"/>
    <w:qFormat/>
    <w:uiPriority w:val="0"/>
    <w:pPr>
      <w:ind w:firstLine="420"/>
    </w:pPr>
  </w:style>
  <w:style w:type="paragraph" w:styleId="9">
    <w:name w:val="annotation text"/>
    <w:basedOn w:val="1"/>
    <w:qFormat/>
    <w:uiPriority w:val="0"/>
    <w:pPr>
      <w:jc w:val="left"/>
    </w:pPr>
  </w:style>
  <w:style w:type="paragraph" w:styleId="10">
    <w:name w:val="Balloon Text"/>
    <w:basedOn w:val="1"/>
    <w:link w:val="30"/>
    <w:qFormat/>
    <w:uiPriority w:val="0"/>
    <w:rPr>
      <w:sz w:val="18"/>
      <w:szCs w:val="18"/>
    </w:rPr>
  </w:style>
  <w:style w:type="paragraph" w:styleId="11">
    <w:name w:val="footer"/>
    <w:basedOn w:val="1"/>
    <w:link w:val="29"/>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4">
    <w:name w:val="Normal (Web)"/>
    <w:basedOn w:val="1"/>
    <w:qFormat/>
    <w:uiPriority w:val="0"/>
    <w:pPr>
      <w:spacing w:beforeAutospacing="1" w:afterAutospacing="1"/>
      <w:jc w:val="left"/>
    </w:pPr>
    <w:rPr>
      <w:kern w:val="0"/>
      <w:sz w:val="24"/>
    </w:rPr>
  </w:style>
  <w:style w:type="character" w:styleId="16">
    <w:name w:val="FollowedHyperlink"/>
    <w:basedOn w:val="15"/>
    <w:qFormat/>
    <w:uiPriority w:val="0"/>
    <w:rPr>
      <w:color w:val="4AA9DF"/>
      <w:u w:val="none"/>
    </w:rPr>
  </w:style>
  <w:style w:type="character" w:styleId="17">
    <w:name w:val="Emphasis"/>
    <w:basedOn w:val="15"/>
    <w:qFormat/>
    <w:uiPriority w:val="0"/>
  </w:style>
  <w:style w:type="character" w:styleId="18">
    <w:name w:val="Hyperlink"/>
    <w:basedOn w:val="15"/>
    <w:qFormat/>
    <w:uiPriority w:val="0"/>
    <w:rPr>
      <w:color w:val="4AA9DF"/>
      <w:u w:val="none"/>
    </w:rPr>
  </w:style>
  <w:style w:type="character" w:styleId="19">
    <w:name w:val="HTML Code"/>
    <w:basedOn w:val="15"/>
    <w:qFormat/>
    <w:uiPriority w:val="0"/>
    <w:rPr>
      <w:rFonts w:ascii="Courier New" w:hAnsi="Courier New"/>
      <w:sz w:val="20"/>
    </w:rPr>
  </w:style>
  <w:style w:type="character" w:styleId="20">
    <w:name w:val="annotation reference"/>
    <w:basedOn w:val="15"/>
    <w:qFormat/>
    <w:uiPriority w:val="0"/>
    <w:rPr>
      <w:sz w:val="21"/>
      <w:szCs w:val="21"/>
    </w:rPr>
  </w:style>
  <w:style w:type="paragraph" w:customStyle="1" w:styleId="22">
    <w:name w:val="大连银行无格式"/>
    <w:basedOn w:val="23"/>
    <w:qFormat/>
    <w:uiPriority w:val="0"/>
    <w:rPr>
      <w:rFonts w:ascii="黑体" w:hAnsi="Times New Roman" w:eastAsia="黑体"/>
    </w:rPr>
  </w:style>
  <w:style w:type="paragraph" w:customStyle="1" w:styleId="23">
    <w:name w:val="_Style 2"/>
    <w:basedOn w:val="1"/>
    <w:qFormat/>
    <w:uiPriority w:val="1"/>
    <w:rPr>
      <w:rFonts w:eastAsia="华文中宋"/>
      <w:szCs w:val="32"/>
    </w:rPr>
  </w:style>
  <w:style w:type="paragraph" w:customStyle="1" w:styleId="24">
    <w:name w:val="首行缩进"/>
    <w:basedOn w:val="1"/>
    <w:qFormat/>
    <w:uiPriority w:val="0"/>
    <w:pPr>
      <w:ind w:firstLine="480" w:firstLineChars="200"/>
    </w:pPr>
    <w:rPr>
      <w:szCs w:val="20"/>
      <w:lang w:val="zh-CN"/>
    </w:rPr>
  </w:style>
  <w:style w:type="paragraph" w:customStyle="1" w:styleId="25">
    <w:name w:val="内文"/>
    <w:qFormat/>
    <w:uiPriority w:val="0"/>
    <w:pPr>
      <w:autoSpaceDE w:val="0"/>
      <w:autoSpaceDN w:val="0"/>
      <w:adjustRightInd w:val="0"/>
      <w:spacing w:before="57" w:after="57" w:line="320" w:lineRule="atLeast"/>
      <w:ind w:firstLine="369"/>
      <w:textAlignment w:val="center"/>
    </w:pPr>
    <w:rPr>
      <w:rFonts w:ascii="方正细黑一简体" w:hAnsi="Calibri" w:eastAsia="宋体" w:cs="宋体"/>
      <w:color w:val="000000"/>
      <w:sz w:val="18"/>
      <w:szCs w:val="18"/>
      <w:lang w:val="en-US" w:eastAsia="zh-CN" w:bidi="ar-SA"/>
    </w:rPr>
  </w:style>
  <w:style w:type="paragraph" w:customStyle="1" w:styleId="26">
    <w:name w:val="Default"/>
    <w:qFormat/>
    <w:uiPriority w:val="0"/>
    <w:pPr>
      <w:widowControl w:val="0"/>
      <w:autoSpaceDE w:val="0"/>
      <w:autoSpaceDN w:val="0"/>
      <w:adjustRightInd w:val="0"/>
    </w:pPr>
    <w:rPr>
      <w:rFonts w:ascii="楷体" w:hAnsi="Times New Roman" w:eastAsia="楷体" w:cs="楷体"/>
      <w:color w:val="000000"/>
      <w:sz w:val="24"/>
      <w:szCs w:val="24"/>
      <w:lang w:val="en-US" w:eastAsia="zh-CN" w:bidi="ar-SA"/>
    </w:rPr>
  </w:style>
  <w:style w:type="paragraph" w:customStyle="1" w:styleId="27">
    <w:name w:val="纯文本1"/>
    <w:basedOn w:val="1"/>
    <w:qFormat/>
    <w:uiPriority w:val="0"/>
    <w:pPr>
      <w:adjustRightInd w:val="0"/>
      <w:textAlignment w:val="baseline"/>
    </w:pPr>
    <w:rPr>
      <w:rFonts w:ascii="宋体" w:hAnsi="Courier New"/>
    </w:rPr>
  </w:style>
  <w:style w:type="paragraph" w:customStyle="1" w:styleId="28">
    <w:name w:val="样式1"/>
    <w:basedOn w:val="1"/>
    <w:qFormat/>
    <w:uiPriority w:val="0"/>
    <w:pPr>
      <w:numPr>
        <w:ilvl w:val="0"/>
        <w:numId w:val="2"/>
      </w:numPr>
      <w:tabs>
        <w:tab w:val="left" w:pos="709"/>
        <w:tab w:val="clear" w:pos="624"/>
      </w:tabs>
      <w:adjustRightInd w:val="0"/>
      <w:textAlignment w:val="baseline"/>
    </w:pPr>
    <w:rPr>
      <w:rFonts w:ascii="宋体" w:hAnsi="宋体" w:cs="宋体"/>
      <w:kern w:val="0"/>
      <w:szCs w:val="21"/>
    </w:rPr>
  </w:style>
  <w:style w:type="character" w:customStyle="1" w:styleId="29">
    <w:name w:val="页脚 Char"/>
    <w:basedOn w:val="15"/>
    <w:link w:val="11"/>
    <w:qFormat/>
    <w:uiPriority w:val="0"/>
    <w:rPr>
      <w:rFonts w:ascii="Calibri" w:hAnsi="Calibri"/>
      <w:kern w:val="2"/>
      <w:sz w:val="18"/>
      <w:szCs w:val="18"/>
    </w:rPr>
  </w:style>
  <w:style w:type="character" w:customStyle="1" w:styleId="30">
    <w:name w:val="批注框文本 Char"/>
    <w:basedOn w:val="15"/>
    <w:link w:val="10"/>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2971</Words>
  <Characters>16941</Characters>
  <Lines>141</Lines>
  <Paragraphs>39</Paragraphs>
  <TotalTime>24</TotalTime>
  <ScaleCrop>false</ScaleCrop>
  <LinksUpToDate>false</LinksUpToDate>
  <CharactersWithSpaces>19873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2020-09-27T06:28:00Z</dcterms:created>
  <dc:creator>Administrator</dc:creator>
  <cp:lastModifiedBy>zrc</cp:lastModifiedBy>
  <cp:lastPrinted>2020-09-30T06:35:00Z</cp:lastPrinted>
  <dcterms:modified xsi:type="dcterms:W3CDTF">2020-09-30T08:34:35Z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